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92" w:rsidRDefault="002B3804" w:rsidP="002B3804">
      <w:pPr>
        <w:rPr>
          <w:b/>
        </w:rPr>
      </w:pPr>
      <w:r>
        <w:rPr>
          <w:b/>
        </w:rPr>
        <w:t xml:space="preserve">Appendix </w:t>
      </w:r>
      <w:r w:rsidR="00B51651">
        <w:rPr>
          <w:b/>
        </w:rPr>
        <w:t>1</w:t>
      </w:r>
      <w:r>
        <w:rPr>
          <w:b/>
        </w:rPr>
        <w:t xml:space="preserve"> – </w:t>
      </w:r>
      <w:r w:rsidR="00037F05">
        <w:rPr>
          <w:b/>
        </w:rPr>
        <w:t xml:space="preserve">Review of </w:t>
      </w:r>
      <w:r w:rsidR="00AF4A95">
        <w:rPr>
          <w:b/>
        </w:rPr>
        <w:t>allocat</w:t>
      </w:r>
      <w:r w:rsidR="00037F05">
        <w:rPr>
          <w:b/>
        </w:rPr>
        <w:t>ed</w:t>
      </w:r>
      <w:r w:rsidR="00AF4A95">
        <w:rPr>
          <w:b/>
        </w:rPr>
        <w:t xml:space="preserve"> homelessness prevention funds </w:t>
      </w:r>
      <w:r w:rsidR="00DA139B">
        <w:rPr>
          <w:b/>
        </w:rPr>
        <w:t>2020/21</w:t>
      </w:r>
    </w:p>
    <w:p w:rsidR="00AF4A95" w:rsidRPr="00782FB6" w:rsidRDefault="00AF4A95" w:rsidP="002B3804">
      <w:pPr>
        <w:rPr>
          <w:b/>
        </w:rPr>
      </w:pPr>
    </w:p>
    <w:tbl>
      <w:tblPr>
        <w:tblW w:w="14567" w:type="dxa"/>
        <w:tblInd w:w="82" w:type="dxa"/>
        <w:tblLayout w:type="fixed"/>
        <w:tblLook w:val="04A0" w:firstRow="1" w:lastRow="0" w:firstColumn="1" w:lastColumn="0" w:noHBand="0" w:noVBand="1"/>
      </w:tblPr>
      <w:tblGrid>
        <w:gridCol w:w="2835"/>
        <w:gridCol w:w="2171"/>
        <w:gridCol w:w="1422"/>
        <w:gridCol w:w="1373"/>
        <w:gridCol w:w="6766"/>
      </w:tblGrid>
      <w:tr w:rsidR="00C5029D" w:rsidRPr="00C5029D" w:rsidTr="006054FE">
        <w:trPr>
          <w:trHeight w:val="893"/>
        </w:trPr>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Service areas</w:t>
            </w:r>
          </w:p>
        </w:tc>
        <w:tc>
          <w:tcPr>
            <w:tcW w:w="2171" w:type="dxa"/>
            <w:tcBorders>
              <w:top w:val="single" w:sz="4" w:space="0" w:color="auto"/>
              <w:left w:val="nil"/>
              <w:bottom w:val="single" w:sz="4" w:space="0" w:color="auto"/>
              <w:right w:val="single" w:sz="4" w:space="0" w:color="auto"/>
            </w:tcBorders>
            <w:shd w:val="clear" w:color="000000" w:fill="D9D9D9"/>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Provider</w:t>
            </w:r>
          </w:p>
        </w:tc>
        <w:tc>
          <w:tcPr>
            <w:tcW w:w="1422" w:type="dxa"/>
            <w:tcBorders>
              <w:top w:val="single" w:sz="4" w:space="0" w:color="auto"/>
              <w:left w:val="nil"/>
              <w:bottom w:val="single" w:sz="4" w:space="0" w:color="auto"/>
              <w:right w:val="single" w:sz="4" w:space="0" w:color="auto"/>
            </w:tcBorders>
            <w:shd w:val="clear" w:color="auto" w:fill="D9D9D9" w:themeFill="background1" w:themeFillShade="D9"/>
          </w:tcPr>
          <w:p w:rsidR="00C5029D" w:rsidRPr="00C5029D" w:rsidRDefault="00C5029D" w:rsidP="00DA139B">
            <w:pPr>
              <w:pStyle w:val="Caption"/>
              <w:spacing w:beforeLines="60" w:before="144" w:afterLines="60" w:after="144"/>
              <w:rPr>
                <w:sz w:val="22"/>
                <w:szCs w:val="22"/>
              </w:rPr>
            </w:pPr>
            <w:r w:rsidRPr="00C5029D">
              <w:rPr>
                <w:sz w:val="22"/>
                <w:szCs w:val="22"/>
              </w:rPr>
              <w:t>Allocation 2020</w:t>
            </w:r>
            <w:r w:rsidR="00DA139B">
              <w:rPr>
                <w:sz w:val="22"/>
                <w:szCs w:val="22"/>
              </w:rPr>
              <w:t>/21</w:t>
            </w:r>
          </w:p>
        </w:tc>
        <w:tc>
          <w:tcPr>
            <w:tcW w:w="1373" w:type="dxa"/>
            <w:tcBorders>
              <w:top w:val="single" w:sz="4" w:space="0" w:color="auto"/>
              <w:left w:val="single" w:sz="4" w:space="0" w:color="auto"/>
              <w:bottom w:val="single" w:sz="4" w:space="0" w:color="auto"/>
              <w:right w:val="single" w:sz="4" w:space="0" w:color="auto"/>
            </w:tcBorders>
            <w:shd w:val="clear" w:color="000000" w:fill="D9D9D9"/>
          </w:tcPr>
          <w:p w:rsidR="00C5029D" w:rsidRPr="00C5029D" w:rsidRDefault="00C5029D" w:rsidP="00C5029D">
            <w:pPr>
              <w:pStyle w:val="Caption"/>
              <w:spacing w:beforeLines="60" w:before="144" w:afterLines="60" w:after="144"/>
              <w:rPr>
                <w:sz w:val="22"/>
                <w:szCs w:val="22"/>
              </w:rPr>
            </w:pPr>
            <w:r>
              <w:rPr>
                <w:sz w:val="22"/>
                <w:szCs w:val="22"/>
              </w:rPr>
              <w:t>Forecast to year end</w:t>
            </w:r>
          </w:p>
        </w:tc>
        <w:tc>
          <w:tcPr>
            <w:tcW w:w="67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Purpose</w:t>
            </w:r>
          </w:p>
        </w:tc>
      </w:tr>
      <w:tr w:rsidR="00C5029D" w:rsidRPr="00C5029D" w:rsidTr="006054FE">
        <w:trPr>
          <w:trHeight w:val="360"/>
        </w:trPr>
        <w:tc>
          <w:tcPr>
            <w:tcW w:w="2835" w:type="dxa"/>
            <w:tcBorders>
              <w:top w:val="nil"/>
              <w:left w:val="single" w:sz="4" w:space="0" w:color="auto"/>
              <w:bottom w:val="single" w:sz="4" w:space="0" w:color="auto"/>
              <w:right w:val="single" w:sz="4" w:space="0" w:color="auto"/>
            </w:tcBorders>
            <w:shd w:val="clear" w:color="000000" w:fill="FABF8F"/>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Supported accommodation</w:t>
            </w:r>
          </w:p>
        </w:tc>
        <w:tc>
          <w:tcPr>
            <w:tcW w:w="2171" w:type="dxa"/>
            <w:tcBorders>
              <w:top w:val="nil"/>
              <w:left w:val="nil"/>
              <w:bottom w:val="single" w:sz="4" w:space="0" w:color="auto"/>
              <w:right w:val="single" w:sz="4" w:space="0" w:color="auto"/>
            </w:tcBorders>
            <w:shd w:val="clear" w:color="000000" w:fill="FABF8F"/>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nil"/>
              <w:left w:val="nil"/>
              <w:bottom w:val="single" w:sz="4" w:space="0" w:color="auto"/>
              <w:right w:val="single" w:sz="4" w:space="0" w:color="auto"/>
            </w:tcBorders>
            <w:shd w:val="clear" w:color="000000" w:fill="FABF8F"/>
            <w:vAlign w:val="center"/>
          </w:tcPr>
          <w:p w:rsidR="00C5029D" w:rsidRPr="00C5029D" w:rsidRDefault="00C5029D" w:rsidP="00CF25E6">
            <w:pPr>
              <w:jc w:val="center"/>
              <w:rPr>
                <w:rFonts w:cs="Arial"/>
                <w:b/>
                <w:bCs/>
                <w:sz w:val="22"/>
                <w:szCs w:val="22"/>
              </w:rPr>
            </w:pPr>
            <w:r w:rsidRPr="00C5029D">
              <w:rPr>
                <w:rFonts w:cs="Arial"/>
                <w:b/>
                <w:bCs/>
                <w:sz w:val="22"/>
                <w:szCs w:val="22"/>
              </w:rPr>
              <w:t>£</w:t>
            </w:r>
            <w:r w:rsidR="00CF25E6">
              <w:rPr>
                <w:rFonts w:cs="Arial"/>
                <w:b/>
                <w:bCs/>
                <w:sz w:val="22"/>
                <w:szCs w:val="22"/>
              </w:rPr>
              <w:t>806,852</w:t>
            </w:r>
          </w:p>
        </w:tc>
        <w:tc>
          <w:tcPr>
            <w:tcW w:w="1373" w:type="dxa"/>
            <w:tcBorders>
              <w:top w:val="single" w:sz="4" w:space="0" w:color="auto"/>
              <w:left w:val="single" w:sz="4" w:space="0" w:color="auto"/>
              <w:bottom w:val="single" w:sz="4" w:space="0" w:color="auto"/>
              <w:right w:val="single" w:sz="4" w:space="0" w:color="auto"/>
            </w:tcBorders>
            <w:shd w:val="clear" w:color="000000" w:fill="FABF8F"/>
            <w:vAlign w:val="center"/>
          </w:tcPr>
          <w:p w:rsidR="00C5029D" w:rsidRPr="00C5029D" w:rsidRDefault="00C5029D" w:rsidP="006054FE">
            <w:pPr>
              <w:jc w:val="center"/>
              <w:rPr>
                <w:rFonts w:cs="Arial"/>
                <w:b/>
                <w:bCs/>
                <w:sz w:val="22"/>
                <w:szCs w:val="22"/>
              </w:rPr>
            </w:pPr>
            <w:r w:rsidRPr="00C5029D">
              <w:rPr>
                <w:rFonts w:cs="Arial"/>
                <w:b/>
                <w:bCs/>
                <w:sz w:val="22"/>
                <w:szCs w:val="22"/>
              </w:rPr>
              <w:t>£</w:t>
            </w:r>
            <w:r w:rsidR="00CF25E6">
              <w:rPr>
                <w:rFonts w:cs="Arial"/>
                <w:b/>
                <w:bCs/>
                <w:sz w:val="22"/>
                <w:szCs w:val="22"/>
              </w:rPr>
              <w:t>774,952</w:t>
            </w:r>
          </w:p>
        </w:tc>
        <w:tc>
          <w:tcPr>
            <w:tcW w:w="6766" w:type="dxa"/>
            <w:tcBorders>
              <w:top w:val="nil"/>
              <w:left w:val="single" w:sz="4" w:space="0" w:color="auto"/>
              <w:bottom w:val="single" w:sz="4" w:space="0" w:color="auto"/>
              <w:right w:val="single" w:sz="4" w:space="0" w:color="auto"/>
            </w:tcBorders>
            <w:shd w:val="clear" w:color="000000" w:fill="FABF8F"/>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Contribution Oxfordshire Pooled Budget for the Adult Homeless Pathway</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Oxfordshire AHP / Oxfordshire CC commissioner</w:t>
            </w:r>
          </w:p>
        </w:tc>
        <w:tc>
          <w:tcPr>
            <w:tcW w:w="1422" w:type="dxa"/>
            <w:tcBorders>
              <w:top w:val="nil"/>
              <w:left w:val="nil"/>
              <w:bottom w:val="single" w:sz="4" w:space="0" w:color="auto"/>
              <w:right w:val="single" w:sz="4" w:space="0" w:color="auto"/>
            </w:tcBorders>
            <w:vAlign w:val="center"/>
          </w:tcPr>
          <w:p w:rsidR="00C5029D" w:rsidRPr="00C5029D" w:rsidRDefault="00C5029D" w:rsidP="00DA139B">
            <w:pPr>
              <w:spacing w:beforeLines="60" w:before="144" w:afterLines="60" w:after="144"/>
              <w:jc w:val="center"/>
              <w:rPr>
                <w:rFonts w:cs="Arial"/>
                <w:color w:val="auto"/>
                <w:sz w:val="22"/>
                <w:szCs w:val="22"/>
              </w:rPr>
            </w:pPr>
            <w:r w:rsidRPr="00C5029D">
              <w:rPr>
                <w:rFonts w:cs="Arial"/>
                <w:color w:val="auto"/>
                <w:sz w:val="22"/>
                <w:szCs w:val="22"/>
              </w:rPr>
              <w:t>£</w:t>
            </w:r>
            <w:r w:rsidR="00DA139B">
              <w:rPr>
                <w:rFonts w:cs="Arial"/>
                <w:color w:val="auto"/>
                <w:sz w:val="22"/>
                <w:szCs w:val="22"/>
              </w:rPr>
              <w:t>219,030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DA139B">
            <w:pPr>
              <w:spacing w:beforeLines="60" w:before="144" w:afterLines="60" w:after="144"/>
              <w:jc w:val="center"/>
              <w:rPr>
                <w:rFonts w:cs="Arial"/>
                <w:color w:val="auto"/>
                <w:sz w:val="22"/>
                <w:szCs w:val="22"/>
              </w:rPr>
            </w:pPr>
            <w:r w:rsidRPr="00C5029D">
              <w:rPr>
                <w:rFonts w:cs="Arial"/>
                <w:color w:val="auto"/>
                <w:sz w:val="22"/>
                <w:szCs w:val="22"/>
              </w:rPr>
              <w:t>£</w:t>
            </w:r>
            <w:r w:rsidR="00DA139B">
              <w:rPr>
                <w:rFonts w:cs="Arial"/>
                <w:color w:val="auto"/>
                <w:sz w:val="22"/>
                <w:szCs w:val="22"/>
              </w:rPr>
              <w:t>219,030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Provision of supported housing.</w:t>
            </w:r>
          </w:p>
        </w:tc>
      </w:tr>
      <w:tr w:rsidR="00C5029D" w:rsidRPr="00C5029D" w:rsidTr="006054FE">
        <w:trPr>
          <w:trHeight w:val="11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Housing First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Homeless Oxfordshire</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£47,850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£47,850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1 FTE Support Worker &amp; 0.5 FTE Peer Support Worker for this specialist housing project. Offers an alternative supported housing model aimed at getting entrenched rough sleepers permanently off the streets. </w:t>
            </w:r>
          </w:p>
        </w:tc>
      </w:tr>
      <w:tr w:rsidR="00473ACB" w:rsidRPr="00C5029D" w:rsidTr="006054FE">
        <w:trPr>
          <w:trHeight w:val="18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73ACB" w:rsidRPr="00C5029D" w:rsidRDefault="00473ACB" w:rsidP="00473ACB">
            <w:pPr>
              <w:spacing w:beforeLines="60" w:before="144" w:afterLines="60" w:after="144"/>
              <w:rPr>
                <w:rFonts w:cs="Arial"/>
                <w:color w:val="auto"/>
                <w:sz w:val="22"/>
                <w:szCs w:val="22"/>
              </w:rPr>
            </w:pPr>
            <w:r w:rsidRPr="00C5029D">
              <w:rPr>
                <w:rFonts w:cs="Arial"/>
                <w:color w:val="auto"/>
                <w:sz w:val="22"/>
                <w:szCs w:val="22"/>
              </w:rPr>
              <w:t>Acacia existing x 5</w:t>
            </w:r>
          </w:p>
        </w:tc>
        <w:tc>
          <w:tcPr>
            <w:tcW w:w="2171" w:type="dxa"/>
            <w:tcBorders>
              <w:top w:val="nil"/>
              <w:left w:val="nil"/>
              <w:bottom w:val="single" w:sz="4" w:space="0" w:color="auto"/>
              <w:right w:val="single" w:sz="4" w:space="0" w:color="auto"/>
            </w:tcBorders>
            <w:shd w:val="clear" w:color="auto" w:fill="auto"/>
            <w:noWrap/>
            <w:vAlign w:val="center"/>
            <w:hideMark/>
          </w:tcPr>
          <w:p w:rsidR="00473ACB" w:rsidRPr="00C5029D" w:rsidRDefault="00473ACB" w:rsidP="00473ACB">
            <w:pPr>
              <w:spacing w:beforeLines="60" w:before="144" w:afterLines="60" w:after="144"/>
              <w:rPr>
                <w:rFonts w:cs="Arial"/>
                <w:color w:val="auto"/>
                <w:sz w:val="22"/>
                <w:szCs w:val="22"/>
              </w:rPr>
            </w:pPr>
            <w:r w:rsidRPr="00C5029D">
              <w:rPr>
                <w:rFonts w:cs="Arial"/>
                <w:color w:val="auto"/>
                <w:sz w:val="22"/>
                <w:szCs w:val="22"/>
              </w:rPr>
              <w:t>Response</w:t>
            </w:r>
          </w:p>
        </w:tc>
        <w:tc>
          <w:tcPr>
            <w:tcW w:w="1422" w:type="dxa"/>
            <w:tcBorders>
              <w:top w:val="nil"/>
              <w:left w:val="nil"/>
              <w:bottom w:val="single" w:sz="4" w:space="0" w:color="auto"/>
              <w:right w:val="single" w:sz="4" w:space="0" w:color="auto"/>
            </w:tcBorders>
            <w:vAlign w:val="center"/>
          </w:tcPr>
          <w:p w:rsidR="00473ACB" w:rsidRPr="00C5029D" w:rsidRDefault="00473ACB" w:rsidP="00473ACB">
            <w:pPr>
              <w:spacing w:beforeLines="60" w:before="144" w:afterLines="60" w:after="144"/>
              <w:jc w:val="center"/>
              <w:rPr>
                <w:rFonts w:cs="Arial"/>
                <w:color w:val="auto"/>
                <w:sz w:val="22"/>
                <w:szCs w:val="22"/>
              </w:rPr>
            </w:pPr>
            <w:r w:rsidRPr="00C5029D">
              <w:rPr>
                <w:rFonts w:cs="Arial"/>
                <w:color w:val="auto"/>
                <w:sz w:val="22"/>
                <w:szCs w:val="22"/>
              </w:rPr>
              <w:t>£47,850</w:t>
            </w:r>
          </w:p>
        </w:tc>
        <w:tc>
          <w:tcPr>
            <w:tcW w:w="1373" w:type="dxa"/>
            <w:tcBorders>
              <w:top w:val="single" w:sz="4" w:space="0" w:color="auto"/>
              <w:left w:val="single" w:sz="4" w:space="0" w:color="auto"/>
              <w:bottom w:val="single" w:sz="4" w:space="0" w:color="auto"/>
              <w:right w:val="single" w:sz="4" w:space="0" w:color="auto"/>
            </w:tcBorders>
            <w:vAlign w:val="center"/>
          </w:tcPr>
          <w:p w:rsidR="00473ACB" w:rsidRPr="00C5029D" w:rsidRDefault="00473ACB" w:rsidP="00473ACB">
            <w:pPr>
              <w:spacing w:beforeLines="60" w:before="144" w:afterLines="60" w:after="144"/>
              <w:jc w:val="center"/>
              <w:rPr>
                <w:rFonts w:cs="Arial"/>
                <w:color w:val="auto"/>
                <w:sz w:val="22"/>
                <w:szCs w:val="22"/>
              </w:rPr>
            </w:pPr>
            <w:r w:rsidRPr="00C5029D">
              <w:rPr>
                <w:rFonts w:cs="Arial"/>
                <w:color w:val="auto"/>
                <w:sz w:val="22"/>
                <w:szCs w:val="22"/>
              </w:rPr>
              <w:t>£47,850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473ACB" w:rsidRPr="00473ACB" w:rsidRDefault="00473ACB" w:rsidP="00473ACB">
            <w:pPr>
              <w:spacing w:beforeLines="60" w:before="144" w:afterLines="60" w:after="144"/>
              <w:rPr>
                <w:rFonts w:cs="Arial"/>
                <w:color w:val="auto"/>
                <w:sz w:val="22"/>
                <w:szCs w:val="22"/>
              </w:rPr>
            </w:pPr>
            <w:r w:rsidRPr="00473ACB">
              <w:rPr>
                <w:rFonts w:cs="Arial"/>
                <w:color w:val="auto"/>
                <w:sz w:val="22"/>
                <w:szCs w:val="22"/>
              </w:rPr>
              <w:t xml:space="preserve">Funding was allocated for 5 units of specialist supported housing for people with complex needs.  The Acacia Project builds on the Housing First model and has developed as a result of recognition by housing and mental health service commissioners </w:t>
            </w:r>
            <w:r>
              <w:rPr>
                <w:rFonts w:cs="Arial"/>
                <w:color w:val="auto"/>
                <w:sz w:val="22"/>
                <w:szCs w:val="22"/>
              </w:rPr>
              <w:t>that there is</w:t>
            </w:r>
            <w:r w:rsidRPr="00473ACB">
              <w:rPr>
                <w:rFonts w:cs="Arial"/>
                <w:color w:val="auto"/>
                <w:sz w:val="22"/>
                <w:szCs w:val="22"/>
              </w:rPr>
              <w:t xml:space="preserve"> an increasing number of people who “fall between the gaps” of mental health services and homelessness services, </w:t>
            </w:r>
            <w:r>
              <w:rPr>
                <w:rFonts w:cs="Arial"/>
                <w:color w:val="auto"/>
                <w:sz w:val="22"/>
                <w:szCs w:val="22"/>
              </w:rPr>
              <w:t xml:space="preserve">and </w:t>
            </w:r>
            <w:r w:rsidRPr="00473ACB">
              <w:rPr>
                <w:rFonts w:cs="Arial"/>
                <w:color w:val="auto"/>
                <w:sz w:val="22"/>
                <w:szCs w:val="22"/>
              </w:rPr>
              <w:t>getting ineffective support from either or both due to their needs.</w:t>
            </w:r>
          </w:p>
        </w:tc>
      </w:tr>
      <w:tr w:rsidR="00473ACB" w:rsidRPr="00C5029D" w:rsidTr="006054FE">
        <w:trPr>
          <w:trHeight w:val="8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73ACB" w:rsidRPr="00C5029D" w:rsidRDefault="00473ACB" w:rsidP="00473ACB">
            <w:pPr>
              <w:spacing w:beforeLines="60" w:before="144" w:afterLines="60" w:after="144"/>
              <w:rPr>
                <w:rFonts w:cs="Arial"/>
                <w:color w:val="auto"/>
                <w:sz w:val="22"/>
                <w:szCs w:val="22"/>
              </w:rPr>
            </w:pPr>
            <w:r w:rsidRPr="00C5029D">
              <w:rPr>
                <w:rFonts w:cs="Arial"/>
                <w:color w:val="auto"/>
                <w:sz w:val="22"/>
                <w:szCs w:val="22"/>
              </w:rPr>
              <w:t>Acacia  additional units - pending</w:t>
            </w:r>
          </w:p>
        </w:tc>
        <w:tc>
          <w:tcPr>
            <w:tcW w:w="2171" w:type="dxa"/>
            <w:tcBorders>
              <w:top w:val="nil"/>
              <w:left w:val="nil"/>
              <w:bottom w:val="single" w:sz="4" w:space="0" w:color="auto"/>
              <w:right w:val="single" w:sz="4" w:space="0" w:color="auto"/>
            </w:tcBorders>
            <w:shd w:val="clear" w:color="auto" w:fill="auto"/>
            <w:noWrap/>
            <w:vAlign w:val="center"/>
            <w:hideMark/>
          </w:tcPr>
          <w:p w:rsidR="00473ACB" w:rsidRPr="00C5029D" w:rsidRDefault="00473ACB" w:rsidP="00473ACB">
            <w:pPr>
              <w:spacing w:beforeLines="60" w:before="144" w:afterLines="60" w:after="144"/>
              <w:rPr>
                <w:rFonts w:cs="Arial"/>
                <w:color w:val="auto"/>
                <w:sz w:val="22"/>
                <w:szCs w:val="22"/>
              </w:rPr>
            </w:pPr>
            <w:r w:rsidRPr="00C5029D">
              <w:rPr>
                <w:rFonts w:cs="Arial"/>
                <w:color w:val="auto"/>
                <w:sz w:val="22"/>
                <w:szCs w:val="22"/>
              </w:rPr>
              <w:t>Response</w:t>
            </w:r>
            <w:r>
              <w:rPr>
                <w:rFonts w:cs="Arial"/>
                <w:color w:val="auto"/>
                <w:sz w:val="22"/>
                <w:szCs w:val="22"/>
              </w:rPr>
              <w:t>, Homeless Oxfordshire</w:t>
            </w:r>
          </w:p>
        </w:tc>
        <w:tc>
          <w:tcPr>
            <w:tcW w:w="1422" w:type="dxa"/>
            <w:tcBorders>
              <w:top w:val="nil"/>
              <w:left w:val="nil"/>
              <w:bottom w:val="single" w:sz="4" w:space="0" w:color="auto"/>
              <w:right w:val="single" w:sz="4" w:space="0" w:color="auto"/>
            </w:tcBorders>
            <w:vAlign w:val="center"/>
          </w:tcPr>
          <w:p w:rsidR="00473ACB" w:rsidRPr="00C5029D" w:rsidRDefault="00473ACB" w:rsidP="00DA139B">
            <w:pPr>
              <w:spacing w:beforeLines="60" w:before="144" w:afterLines="60" w:after="144"/>
              <w:jc w:val="center"/>
              <w:rPr>
                <w:rFonts w:cs="Arial"/>
                <w:color w:val="auto"/>
                <w:sz w:val="22"/>
                <w:szCs w:val="22"/>
              </w:rPr>
            </w:pPr>
            <w:r w:rsidRPr="00C5029D">
              <w:rPr>
                <w:rFonts w:cs="Arial"/>
                <w:color w:val="auto"/>
                <w:sz w:val="22"/>
                <w:szCs w:val="22"/>
              </w:rPr>
              <w:t>£</w:t>
            </w:r>
            <w:r w:rsidR="00DA139B">
              <w:rPr>
                <w:rFonts w:cs="Arial"/>
                <w:color w:val="auto"/>
                <w:sz w:val="22"/>
                <w:szCs w:val="22"/>
              </w:rPr>
              <w:t>47,850</w:t>
            </w:r>
          </w:p>
        </w:tc>
        <w:tc>
          <w:tcPr>
            <w:tcW w:w="1373" w:type="dxa"/>
            <w:tcBorders>
              <w:top w:val="single" w:sz="4" w:space="0" w:color="auto"/>
              <w:left w:val="single" w:sz="4" w:space="0" w:color="auto"/>
              <w:bottom w:val="single" w:sz="4" w:space="0" w:color="auto"/>
              <w:right w:val="single" w:sz="4" w:space="0" w:color="auto"/>
            </w:tcBorders>
            <w:vAlign w:val="center"/>
          </w:tcPr>
          <w:p w:rsidR="00473ACB" w:rsidRPr="00C5029D" w:rsidRDefault="00473ACB" w:rsidP="00CF25E6">
            <w:pPr>
              <w:spacing w:beforeLines="60" w:before="144" w:afterLines="60" w:after="144"/>
              <w:jc w:val="center"/>
              <w:rPr>
                <w:rFonts w:cs="Arial"/>
                <w:color w:val="auto"/>
                <w:sz w:val="22"/>
                <w:szCs w:val="22"/>
              </w:rPr>
            </w:pPr>
            <w:r w:rsidRPr="00C5029D">
              <w:rPr>
                <w:rFonts w:cs="Arial"/>
                <w:color w:val="FF0000"/>
                <w:sz w:val="22"/>
                <w:szCs w:val="22"/>
              </w:rPr>
              <w:t>£</w:t>
            </w:r>
            <w:r w:rsidR="00CF25E6">
              <w:rPr>
                <w:rFonts w:cs="Arial"/>
                <w:color w:val="FF0000"/>
                <w:sz w:val="22"/>
                <w:szCs w:val="22"/>
              </w:rPr>
              <w:t>15.950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473ACB" w:rsidRPr="00473ACB" w:rsidRDefault="00473ACB" w:rsidP="00473ACB">
            <w:pPr>
              <w:spacing w:beforeLines="60" w:before="144" w:afterLines="60" w:after="144"/>
              <w:rPr>
                <w:rFonts w:cs="Arial"/>
                <w:color w:val="auto"/>
                <w:sz w:val="22"/>
                <w:szCs w:val="22"/>
              </w:rPr>
            </w:pPr>
            <w:r w:rsidRPr="00473ACB">
              <w:rPr>
                <w:rFonts w:cs="Arial"/>
                <w:color w:val="auto"/>
                <w:sz w:val="22"/>
                <w:szCs w:val="22"/>
              </w:rPr>
              <w:t xml:space="preserve">Funding </w:t>
            </w:r>
            <w:r w:rsidR="00CF25E6">
              <w:rPr>
                <w:rFonts w:cs="Arial"/>
                <w:color w:val="auto"/>
                <w:sz w:val="22"/>
                <w:szCs w:val="22"/>
              </w:rPr>
              <w:t>was previously allocated from reserves to</w:t>
            </w:r>
            <w:r w:rsidRPr="00473ACB">
              <w:rPr>
                <w:rFonts w:cs="Arial"/>
                <w:color w:val="auto"/>
                <w:sz w:val="22"/>
                <w:szCs w:val="22"/>
              </w:rPr>
              <w:t xml:space="preserve"> fund the expansion of the Acacia project by </w:t>
            </w:r>
            <w:r w:rsidR="00CF25E6">
              <w:rPr>
                <w:rFonts w:cs="Arial"/>
                <w:color w:val="auto"/>
                <w:sz w:val="22"/>
                <w:szCs w:val="22"/>
              </w:rPr>
              <w:t xml:space="preserve">up to </w:t>
            </w:r>
            <w:r w:rsidRPr="00473ACB">
              <w:rPr>
                <w:rFonts w:cs="Arial"/>
                <w:color w:val="auto"/>
                <w:sz w:val="22"/>
                <w:szCs w:val="22"/>
              </w:rPr>
              <w:t xml:space="preserve">5 additional units of specialist supported housing units for people with complex needs. </w:t>
            </w:r>
          </w:p>
          <w:p w:rsidR="00473ACB" w:rsidRPr="00473ACB" w:rsidRDefault="00CF25E6" w:rsidP="00473ACB">
            <w:pPr>
              <w:spacing w:beforeLines="60" w:before="144" w:afterLines="60" w:after="144"/>
              <w:rPr>
                <w:rFonts w:cs="Arial"/>
                <w:color w:val="auto"/>
                <w:sz w:val="22"/>
                <w:szCs w:val="22"/>
              </w:rPr>
            </w:pPr>
            <w:r>
              <w:rPr>
                <w:rFonts w:cs="Arial"/>
                <w:color w:val="auto"/>
                <w:sz w:val="22"/>
                <w:szCs w:val="22"/>
              </w:rPr>
              <w:lastRenderedPageBreak/>
              <w:t>Only one additional unit has been brought on this year as organisations have focused on the Covid response instead. The ambition is to still expand provision in 21/22.</w:t>
            </w:r>
          </w:p>
        </w:tc>
      </w:tr>
      <w:tr w:rsidR="00C5029D" w:rsidRPr="00C5029D" w:rsidTr="006054FE">
        <w:trPr>
          <w:trHeight w:val="110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lastRenderedPageBreak/>
              <w:t>Project 41</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Homeless Oxfordshire</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£150,000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£150,000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C5029D" w:rsidRPr="00C5029D" w:rsidTr="006054FE">
        <w:trPr>
          <w:trHeight w:val="1423"/>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DC2444" w:rsidP="00CF25E6">
            <w:pPr>
              <w:spacing w:beforeLines="60" w:before="144" w:afterLines="60" w:after="144"/>
              <w:rPr>
                <w:rFonts w:cs="Arial"/>
                <w:color w:val="auto"/>
                <w:sz w:val="22"/>
                <w:szCs w:val="22"/>
              </w:rPr>
            </w:pPr>
            <w:r>
              <w:rPr>
                <w:rFonts w:cs="Arial"/>
                <w:color w:val="auto"/>
                <w:sz w:val="22"/>
                <w:szCs w:val="22"/>
              </w:rPr>
              <w:t xml:space="preserve">Matilda House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A2Dominion</w:t>
            </w:r>
          </w:p>
        </w:tc>
        <w:tc>
          <w:tcPr>
            <w:tcW w:w="1422" w:type="dxa"/>
            <w:tcBorders>
              <w:top w:val="nil"/>
              <w:left w:val="nil"/>
              <w:bottom w:val="single" w:sz="4" w:space="0" w:color="auto"/>
              <w:right w:val="single" w:sz="4" w:space="0" w:color="auto"/>
            </w:tcBorders>
            <w:vAlign w:val="center"/>
          </w:tcPr>
          <w:p w:rsidR="00C5029D" w:rsidRPr="00C5029D" w:rsidRDefault="00C5029D" w:rsidP="00CF25E6">
            <w:pPr>
              <w:jc w:val="center"/>
              <w:rPr>
                <w:rFonts w:cs="Arial"/>
                <w:color w:val="auto"/>
                <w:sz w:val="22"/>
                <w:szCs w:val="22"/>
              </w:rPr>
            </w:pPr>
            <w:r w:rsidRPr="00C5029D">
              <w:rPr>
                <w:rFonts w:cs="Arial"/>
                <w:sz w:val="22"/>
                <w:szCs w:val="22"/>
              </w:rPr>
              <w:t>£</w:t>
            </w:r>
            <w:r w:rsidR="00CF25E6">
              <w:rPr>
                <w:rFonts w:cs="Arial"/>
                <w:sz w:val="22"/>
                <w:szCs w:val="22"/>
              </w:rPr>
              <w:t>225.000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F25E6">
            <w:pPr>
              <w:jc w:val="center"/>
              <w:rPr>
                <w:rFonts w:cs="Arial"/>
                <w:color w:val="auto"/>
                <w:sz w:val="22"/>
                <w:szCs w:val="22"/>
              </w:rPr>
            </w:pPr>
            <w:r w:rsidRPr="00C5029D">
              <w:rPr>
                <w:rFonts w:cs="Arial"/>
                <w:sz w:val="22"/>
                <w:szCs w:val="22"/>
              </w:rPr>
              <w:t>£</w:t>
            </w:r>
            <w:r w:rsidR="00CF25E6">
              <w:rPr>
                <w:rFonts w:cs="Arial"/>
                <w:sz w:val="22"/>
                <w:szCs w:val="22"/>
              </w:rPr>
              <w:t>225,000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F25E6">
            <w:pPr>
              <w:spacing w:beforeLines="60" w:before="144" w:afterLines="60" w:after="144"/>
              <w:rPr>
                <w:rFonts w:cs="Arial"/>
                <w:color w:val="auto"/>
                <w:sz w:val="22"/>
                <w:szCs w:val="22"/>
              </w:rPr>
            </w:pPr>
            <w:r w:rsidRPr="00C5029D">
              <w:rPr>
                <w:rFonts w:cs="Arial"/>
                <w:color w:val="auto"/>
                <w:sz w:val="22"/>
                <w:szCs w:val="22"/>
              </w:rPr>
              <w:t xml:space="preserve">Funding for 22 units of supported accommodation for people with complex needs and 15 units move on accommodation. </w:t>
            </w:r>
          </w:p>
        </w:tc>
      </w:tr>
      <w:tr w:rsidR="00C5029D" w:rsidRPr="00C5029D" w:rsidTr="006054FE">
        <w:trPr>
          <w:trHeight w:val="1118"/>
        </w:trPr>
        <w:tc>
          <w:tcPr>
            <w:tcW w:w="2835" w:type="dxa"/>
            <w:tcBorders>
              <w:top w:val="nil"/>
              <w:left w:val="single" w:sz="4" w:space="0" w:color="auto"/>
              <w:bottom w:val="single" w:sz="4" w:space="0" w:color="auto"/>
              <w:right w:val="single" w:sz="4" w:space="0" w:color="auto"/>
            </w:tcBorders>
            <w:shd w:val="clear" w:color="auto" w:fill="auto"/>
            <w:vAlign w:val="center"/>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Mayday Trust 10 units</w:t>
            </w:r>
          </w:p>
        </w:tc>
        <w:tc>
          <w:tcPr>
            <w:tcW w:w="2171" w:type="dxa"/>
            <w:tcBorders>
              <w:top w:val="nil"/>
              <w:left w:val="nil"/>
              <w:bottom w:val="single" w:sz="4" w:space="0" w:color="auto"/>
              <w:right w:val="single" w:sz="4" w:space="0" w:color="auto"/>
            </w:tcBorders>
            <w:shd w:val="clear" w:color="auto" w:fill="auto"/>
            <w:noWrap/>
            <w:vAlign w:val="center"/>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Mayday Trust</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£39,272</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£39,272</w:t>
            </w:r>
          </w:p>
        </w:tc>
        <w:tc>
          <w:tcPr>
            <w:tcW w:w="6766" w:type="dxa"/>
            <w:tcBorders>
              <w:top w:val="nil"/>
              <w:left w:val="single" w:sz="4" w:space="0" w:color="auto"/>
              <w:bottom w:val="single" w:sz="4" w:space="0" w:color="auto"/>
              <w:right w:val="single" w:sz="4" w:space="0" w:color="auto"/>
            </w:tcBorders>
            <w:shd w:val="clear" w:color="auto" w:fill="auto"/>
            <w:noWrap/>
            <w:vAlign w:val="center"/>
          </w:tcPr>
          <w:p w:rsidR="00C5029D" w:rsidRPr="00C5029D" w:rsidRDefault="00C5029D" w:rsidP="00CF25E6">
            <w:pPr>
              <w:spacing w:beforeLines="60" w:before="144" w:afterLines="60" w:after="144"/>
              <w:rPr>
                <w:rFonts w:cs="Arial"/>
                <w:color w:val="auto"/>
                <w:sz w:val="22"/>
                <w:szCs w:val="22"/>
              </w:rPr>
            </w:pPr>
            <w:r w:rsidRPr="00C5029D">
              <w:rPr>
                <w:rFonts w:cs="Arial"/>
                <w:color w:val="auto"/>
                <w:sz w:val="22"/>
                <w:szCs w:val="22"/>
              </w:rPr>
              <w:t xml:space="preserve">Funding for 10 units of supported accommodation for people with complex needs, in dispersed locations. </w:t>
            </w:r>
          </w:p>
        </w:tc>
      </w:tr>
      <w:tr w:rsidR="00C5029D" w:rsidRPr="00C5029D" w:rsidTr="006054FE">
        <w:trPr>
          <w:trHeight w:val="11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Severe Weather Beds - various</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Various including Homeless Oxfordshire, St Mungo's, Aspire, A2Dominion</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F25E6">
            <w:pPr>
              <w:spacing w:beforeLines="60" w:before="144" w:afterLines="60" w:after="144"/>
              <w:jc w:val="center"/>
              <w:rPr>
                <w:rFonts w:cs="Arial"/>
                <w:color w:val="auto"/>
                <w:sz w:val="22"/>
                <w:szCs w:val="22"/>
              </w:rPr>
            </w:pPr>
            <w:r w:rsidRPr="00CF25E6">
              <w:rPr>
                <w:rFonts w:cs="Arial"/>
                <w:color w:val="auto"/>
                <w:sz w:val="22"/>
                <w:szCs w:val="22"/>
              </w:rPr>
              <w:t>£</w:t>
            </w:r>
            <w:r w:rsidR="00CF25E6" w:rsidRPr="00CF25E6">
              <w:rPr>
                <w:rFonts w:cs="Arial"/>
                <w:color w:val="auto"/>
                <w:sz w:val="22"/>
                <w:szCs w:val="22"/>
              </w:rPr>
              <w:t>30,000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31529F"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to provide additional emergency bed spaces in periods of severe weather for all rough sleepers who need them. </w:t>
            </w:r>
          </w:p>
          <w:p w:rsidR="00C5029D" w:rsidRPr="00C5029D" w:rsidRDefault="0031529F" w:rsidP="00CF25E6">
            <w:pPr>
              <w:spacing w:beforeLines="60" w:before="144" w:afterLines="60" w:after="144"/>
              <w:rPr>
                <w:rFonts w:cs="Arial"/>
                <w:color w:val="auto"/>
                <w:sz w:val="22"/>
                <w:szCs w:val="22"/>
              </w:rPr>
            </w:pPr>
            <w:r w:rsidRPr="0031529F">
              <w:rPr>
                <w:rFonts w:cs="Arial"/>
                <w:color w:val="auto"/>
                <w:sz w:val="22"/>
                <w:szCs w:val="22"/>
              </w:rPr>
              <w:t xml:space="preserve">Spending is forecast to be higher than the original allocation as a result </w:t>
            </w:r>
            <w:r w:rsidR="00CF25E6">
              <w:rPr>
                <w:rFonts w:cs="Arial"/>
                <w:color w:val="auto"/>
                <w:sz w:val="22"/>
                <w:szCs w:val="22"/>
              </w:rPr>
              <w:t xml:space="preserve">of changes to how SWEP this provision operates as a result of restrictions due to Covid19. </w:t>
            </w:r>
            <w:r w:rsidR="00CF25E6">
              <w:rPr>
                <w:sz w:val="22"/>
                <w:szCs w:val="22"/>
              </w:rPr>
              <w:t>Additional funding of £36,000 for severe weather beds has been provided by the government, which means there will be no additional cost to the council.</w:t>
            </w:r>
          </w:p>
        </w:tc>
      </w:tr>
      <w:tr w:rsidR="00C5029D" w:rsidRPr="00C5029D" w:rsidTr="006054FE">
        <w:trPr>
          <w:trHeight w:val="547"/>
        </w:trPr>
        <w:tc>
          <w:tcPr>
            <w:tcW w:w="2835" w:type="dxa"/>
            <w:tcBorders>
              <w:top w:val="nil"/>
              <w:left w:val="single" w:sz="4" w:space="0" w:color="auto"/>
              <w:bottom w:val="single" w:sz="4" w:space="0" w:color="auto"/>
              <w:right w:val="single" w:sz="4" w:space="0" w:color="auto"/>
            </w:tcBorders>
            <w:shd w:val="clear" w:color="000000" w:fill="B1A0C7"/>
            <w:vAlign w:val="center"/>
            <w:hideMark/>
          </w:tcPr>
          <w:p w:rsidR="00C5029D" w:rsidRPr="00C5029D" w:rsidRDefault="00C5029D" w:rsidP="00C5029D">
            <w:pPr>
              <w:spacing w:beforeLines="60" w:before="144" w:afterLines="60" w:after="144"/>
              <w:jc w:val="center"/>
              <w:rPr>
                <w:rFonts w:cs="Arial"/>
                <w:b/>
                <w:bCs/>
                <w:color w:val="FFFFFF"/>
                <w:sz w:val="22"/>
                <w:szCs w:val="22"/>
              </w:rPr>
            </w:pPr>
            <w:r w:rsidRPr="00C5029D">
              <w:rPr>
                <w:rFonts w:cs="Arial"/>
                <w:b/>
                <w:bCs/>
                <w:color w:val="FFFFFF"/>
                <w:sz w:val="22"/>
                <w:szCs w:val="22"/>
              </w:rPr>
              <w:t>Street Engagement</w:t>
            </w:r>
          </w:p>
        </w:tc>
        <w:tc>
          <w:tcPr>
            <w:tcW w:w="2171" w:type="dxa"/>
            <w:tcBorders>
              <w:top w:val="nil"/>
              <w:left w:val="nil"/>
              <w:bottom w:val="single" w:sz="4" w:space="0" w:color="auto"/>
              <w:right w:val="single" w:sz="4" w:space="0" w:color="auto"/>
            </w:tcBorders>
            <w:shd w:val="clear" w:color="000000" w:fill="B1A0C7"/>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B1A0C7"/>
            <w:vAlign w:val="center"/>
          </w:tcPr>
          <w:p w:rsidR="00C5029D" w:rsidRPr="00C5029D" w:rsidRDefault="00C5029D" w:rsidP="00B665EB">
            <w:pPr>
              <w:spacing w:beforeLines="60" w:before="144" w:afterLines="60" w:after="144"/>
              <w:jc w:val="center"/>
              <w:rPr>
                <w:rFonts w:cs="Arial"/>
                <w:b/>
                <w:bCs/>
                <w:color w:val="auto"/>
                <w:sz w:val="22"/>
                <w:szCs w:val="22"/>
              </w:rPr>
            </w:pPr>
            <w:r w:rsidRPr="00C5029D">
              <w:rPr>
                <w:rFonts w:cs="Arial"/>
                <w:b/>
                <w:bCs/>
                <w:color w:val="auto"/>
                <w:sz w:val="22"/>
                <w:szCs w:val="22"/>
              </w:rPr>
              <w:t>£</w:t>
            </w:r>
            <w:r w:rsidR="00B665EB">
              <w:rPr>
                <w:rFonts w:cs="Arial"/>
                <w:b/>
                <w:bCs/>
                <w:color w:val="auto"/>
                <w:sz w:val="22"/>
                <w:szCs w:val="22"/>
              </w:rPr>
              <w:t>47,500</w:t>
            </w:r>
          </w:p>
        </w:tc>
        <w:tc>
          <w:tcPr>
            <w:tcW w:w="1373" w:type="dxa"/>
            <w:tcBorders>
              <w:top w:val="single" w:sz="4" w:space="0" w:color="auto"/>
              <w:left w:val="single" w:sz="4" w:space="0" w:color="auto"/>
              <w:bottom w:val="single" w:sz="4" w:space="0" w:color="auto"/>
              <w:right w:val="single" w:sz="4" w:space="0" w:color="auto"/>
            </w:tcBorders>
            <w:shd w:val="clear" w:color="000000" w:fill="B1A0C7"/>
            <w:vAlign w:val="center"/>
          </w:tcPr>
          <w:p w:rsidR="00C5029D" w:rsidRPr="00C5029D" w:rsidRDefault="00C5029D" w:rsidP="00B665EB">
            <w:pPr>
              <w:spacing w:beforeLines="60" w:before="144" w:afterLines="60" w:after="144"/>
              <w:jc w:val="center"/>
              <w:rPr>
                <w:rFonts w:cs="Arial"/>
                <w:b/>
                <w:bCs/>
                <w:color w:val="auto"/>
                <w:sz w:val="22"/>
                <w:szCs w:val="22"/>
              </w:rPr>
            </w:pPr>
            <w:r w:rsidRPr="00C5029D">
              <w:rPr>
                <w:rFonts w:cs="Arial"/>
                <w:b/>
                <w:bCs/>
                <w:color w:val="auto"/>
                <w:sz w:val="22"/>
                <w:szCs w:val="22"/>
              </w:rPr>
              <w:t>£</w:t>
            </w:r>
            <w:r w:rsidR="00B665EB">
              <w:rPr>
                <w:rFonts w:cs="Arial"/>
                <w:b/>
                <w:bCs/>
                <w:color w:val="auto"/>
                <w:sz w:val="22"/>
                <w:szCs w:val="22"/>
              </w:rPr>
              <w:t>47,500</w:t>
            </w:r>
          </w:p>
        </w:tc>
        <w:tc>
          <w:tcPr>
            <w:tcW w:w="6766" w:type="dxa"/>
            <w:tcBorders>
              <w:top w:val="nil"/>
              <w:left w:val="single" w:sz="4" w:space="0" w:color="auto"/>
              <w:bottom w:val="single" w:sz="4" w:space="0" w:color="auto"/>
              <w:right w:val="single" w:sz="4" w:space="0" w:color="auto"/>
            </w:tcBorders>
            <w:shd w:val="clear" w:color="000000" w:fill="B1A0C7"/>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121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Rough Sleeping &amp; Street activity service - TVP</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Thames Valley Police</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C5029D" w:rsidRPr="00C5029D" w:rsidTr="006054FE">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lastRenderedPageBreak/>
              <w:t>City Centre Ambassadors</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£17,500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£17,500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tc>
      </w:tr>
      <w:tr w:rsidR="00C5029D" w:rsidRPr="00C5029D" w:rsidTr="006054FE">
        <w:trPr>
          <w:trHeight w:val="529"/>
        </w:trPr>
        <w:tc>
          <w:tcPr>
            <w:tcW w:w="2835" w:type="dxa"/>
            <w:tcBorders>
              <w:top w:val="nil"/>
              <w:left w:val="single" w:sz="4" w:space="0" w:color="auto"/>
              <w:bottom w:val="single" w:sz="4" w:space="0" w:color="auto"/>
              <w:right w:val="single" w:sz="4" w:space="0" w:color="auto"/>
            </w:tcBorders>
            <w:shd w:val="clear" w:color="000000" w:fill="8DB4E2"/>
            <w:vAlign w:val="center"/>
            <w:hideMark/>
          </w:tcPr>
          <w:p w:rsidR="00C5029D" w:rsidRPr="00C5029D" w:rsidRDefault="00C5029D" w:rsidP="00A100F1">
            <w:pPr>
              <w:spacing w:beforeLines="60" w:before="144" w:afterLines="60" w:after="144"/>
              <w:rPr>
                <w:rFonts w:cs="Arial"/>
                <w:b/>
                <w:bCs/>
                <w:color w:val="FFFFFF"/>
                <w:sz w:val="22"/>
                <w:szCs w:val="22"/>
              </w:rPr>
            </w:pPr>
            <w:r w:rsidRPr="00C5029D">
              <w:rPr>
                <w:rFonts w:cs="Arial"/>
                <w:b/>
                <w:bCs/>
                <w:color w:val="FFFFFF"/>
                <w:sz w:val="22"/>
                <w:szCs w:val="22"/>
              </w:rPr>
              <w:t>Preventing homelessness</w:t>
            </w:r>
          </w:p>
        </w:tc>
        <w:tc>
          <w:tcPr>
            <w:tcW w:w="2171" w:type="dxa"/>
            <w:tcBorders>
              <w:top w:val="nil"/>
              <w:left w:val="nil"/>
              <w:bottom w:val="single" w:sz="4" w:space="0" w:color="auto"/>
              <w:right w:val="single" w:sz="4" w:space="0" w:color="auto"/>
            </w:tcBorders>
            <w:shd w:val="clear" w:color="000000" w:fill="8DB4E2"/>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8DB4E2"/>
            <w:vAlign w:val="center"/>
          </w:tcPr>
          <w:p w:rsidR="00C5029D" w:rsidRPr="00C5029D" w:rsidRDefault="00B665EB" w:rsidP="00B665EB">
            <w:pPr>
              <w:spacing w:beforeLines="60" w:before="144" w:afterLines="60" w:after="144"/>
              <w:jc w:val="center"/>
              <w:rPr>
                <w:rFonts w:cs="Arial"/>
                <w:b/>
                <w:bCs/>
                <w:color w:val="auto"/>
                <w:sz w:val="22"/>
                <w:szCs w:val="22"/>
              </w:rPr>
            </w:pPr>
            <w:r>
              <w:rPr>
                <w:rFonts w:cs="Arial"/>
                <w:b/>
                <w:bCs/>
                <w:color w:val="auto"/>
                <w:sz w:val="22"/>
                <w:szCs w:val="22"/>
              </w:rPr>
              <w:t>£119.009</w:t>
            </w:r>
          </w:p>
        </w:tc>
        <w:tc>
          <w:tcPr>
            <w:tcW w:w="1373" w:type="dxa"/>
            <w:tcBorders>
              <w:top w:val="single" w:sz="4" w:space="0" w:color="auto"/>
              <w:left w:val="single" w:sz="4" w:space="0" w:color="auto"/>
              <w:bottom w:val="single" w:sz="4" w:space="0" w:color="auto"/>
              <w:right w:val="single" w:sz="4" w:space="0" w:color="auto"/>
            </w:tcBorders>
            <w:shd w:val="clear" w:color="000000" w:fill="8DB4E2"/>
            <w:vAlign w:val="center"/>
          </w:tcPr>
          <w:p w:rsidR="00C5029D" w:rsidRPr="00C5029D" w:rsidRDefault="00B665EB" w:rsidP="00CC5ECF">
            <w:pPr>
              <w:spacing w:beforeLines="60" w:before="144" w:afterLines="60" w:after="144"/>
              <w:jc w:val="center"/>
              <w:rPr>
                <w:rFonts w:cs="Arial"/>
                <w:b/>
                <w:bCs/>
                <w:color w:val="auto"/>
                <w:sz w:val="22"/>
                <w:szCs w:val="22"/>
              </w:rPr>
            </w:pPr>
            <w:r>
              <w:rPr>
                <w:rFonts w:cs="Arial"/>
                <w:b/>
                <w:bCs/>
                <w:color w:val="auto"/>
                <w:sz w:val="22"/>
                <w:szCs w:val="22"/>
              </w:rPr>
              <w:t>£1</w:t>
            </w:r>
            <w:r w:rsidR="006054FE">
              <w:rPr>
                <w:rFonts w:cs="Arial"/>
                <w:b/>
                <w:bCs/>
                <w:color w:val="auto"/>
                <w:sz w:val="22"/>
                <w:szCs w:val="22"/>
              </w:rPr>
              <w:t>09</w:t>
            </w:r>
            <w:r w:rsidR="00CC5ECF">
              <w:rPr>
                <w:rFonts w:cs="Arial"/>
                <w:b/>
                <w:bCs/>
                <w:color w:val="auto"/>
                <w:sz w:val="22"/>
                <w:szCs w:val="22"/>
              </w:rPr>
              <w:t>,002</w:t>
            </w:r>
          </w:p>
        </w:tc>
        <w:tc>
          <w:tcPr>
            <w:tcW w:w="6766" w:type="dxa"/>
            <w:tcBorders>
              <w:top w:val="nil"/>
              <w:left w:val="single" w:sz="4" w:space="0" w:color="auto"/>
              <w:bottom w:val="single" w:sz="4" w:space="0" w:color="auto"/>
              <w:right w:val="single" w:sz="4" w:space="0" w:color="auto"/>
            </w:tcBorders>
            <w:shd w:val="clear" w:color="000000" w:fill="8DB4E2"/>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69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Tenancy Sustainment Officer - Elmore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Elmore Community Services</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£35,630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£35,630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1 FTE specialist sustainment officer to support residents in Oxford City Council accommodation to maintain their tenancies. </w:t>
            </w:r>
          </w:p>
        </w:tc>
      </w:tr>
      <w:tr w:rsidR="00C5029D" w:rsidRPr="00C5029D" w:rsidTr="006054FE">
        <w:trPr>
          <w:trHeight w:val="7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Welfare Reform Outreach Team</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B665EB">
            <w:pPr>
              <w:spacing w:beforeLines="60" w:before="144" w:afterLines="60" w:after="144"/>
              <w:jc w:val="center"/>
              <w:rPr>
                <w:rFonts w:cs="Arial"/>
                <w:color w:val="auto"/>
                <w:sz w:val="22"/>
                <w:szCs w:val="22"/>
              </w:rPr>
            </w:pPr>
            <w:r w:rsidRPr="00C5029D">
              <w:rPr>
                <w:rFonts w:cs="Arial"/>
                <w:color w:val="auto"/>
                <w:sz w:val="22"/>
                <w:szCs w:val="22"/>
              </w:rPr>
              <w:t>£8</w:t>
            </w:r>
            <w:r w:rsidR="00B665EB">
              <w:rPr>
                <w:rFonts w:cs="Arial"/>
                <w:color w:val="auto"/>
                <w:sz w:val="22"/>
                <w:szCs w:val="22"/>
              </w:rPr>
              <w:t>3,379</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E343F6">
            <w:pPr>
              <w:spacing w:beforeLines="60" w:before="144" w:afterLines="60" w:after="144"/>
              <w:jc w:val="center"/>
              <w:rPr>
                <w:rFonts w:cs="Arial"/>
                <w:color w:val="auto"/>
                <w:sz w:val="22"/>
                <w:szCs w:val="22"/>
              </w:rPr>
            </w:pPr>
            <w:r w:rsidRPr="00CC5ECF">
              <w:rPr>
                <w:rFonts w:cs="Arial"/>
                <w:color w:val="FF0000"/>
                <w:sz w:val="22"/>
                <w:szCs w:val="22"/>
              </w:rPr>
              <w:t>£</w:t>
            </w:r>
            <w:r w:rsidR="00E343F6" w:rsidRPr="00CC5ECF">
              <w:rPr>
                <w:rFonts w:cs="Arial"/>
                <w:color w:val="FF0000"/>
                <w:sz w:val="22"/>
                <w:szCs w:val="22"/>
              </w:rPr>
              <w:t>73,372</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Default="00C5029D" w:rsidP="00C5029D">
            <w:pPr>
              <w:spacing w:beforeLines="60" w:before="144" w:afterLines="60" w:after="144"/>
              <w:rPr>
                <w:rFonts w:cs="Arial"/>
                <w:color w:val="auto"/>
                <w:sz w:val="22"/>
                <w:szCs w:val="22"/>
              </w:rPr>
            </w:pPr>
            <w:r w:rsidRPr="00C5029D">
              <w:rPr>
                <w:rFonts w:cs="Arial"/>
                <w:color w:val="auto"/>
                <w:sz w:val="22"/>
                <w:szCs w:val="22"/>
              </w:rPr>
              <w:t>Funding contribution towards the work of a team focussing on the impact of welfare reform across the City</w:t>
            </w:r>
            <w:r w:rsidR="00A100F1">
              <w:rPr>
                <w:rFonts w:cs="Arial"/>
                <w:color w:val="auto"/>
                <w:sz w:val="22"/>
                <w:szCs w:val="22"/>
              </w:rPr>
              <w:t>.</w:t>
            </w:r>
          </w:p>
          <w:p w:rsidR="00A100F1" w:rsidRPr="00C5029D" w:rsidRDefault="00A100F1" w:rsidP="00B665EB">
            <w:pPr>
              <w:spacing w:after="0"/>
              <w:rPr>
                <w:rFonts w:cs="Arial"/>
                <w:color w:val="auto"/>
                <w:sz w:val="22"/>
                <w:szCs w:val="22"/>
              </w:rPr>
            </w:pPr>
          </w:p>
        </w:tc>
      </w:tr>
      <w:tr w:rsidR="00C5029D" w:rsidRPr="00C5029D" w:rsidTr="006054FE">
        <w:trPr>
          <w:trHeight w:val="730"/>
        </w:trPr>
        <w:tc>
          <w:tcPr>
            <w:tcW w:w="2835" w:type="dxa"/>
            <w:tcBorders>
              <w:top w:val="nil"/>
              <w:left w:val="single" w:sz="4" w:space="0" w:color="auto"/>
              <w:bottom w:val="single" w:sz="4" w:space="0" w:color="auto"/>
              <w:right w:val="single" w:sz="4" w:space="0" w:color="auto"/>
            </w:tcBorders>
            <w:shd w:val="clear" w:color="000000" w:fill="B7DEE8"/>
            <w:vAlign w:val="center"/>
            <w:hideMark/>
          </w:tcPr>
          <w:p w:rsidR="00C5029D" w:rsidRPr="00C5029D" w:rsidRDefault="00C5029D" w:rsidP="00C5029D">
            <w:pPr>
              <w:spacing w:beforeLines="60" w:before="144" w:afterLines="60" w:after="144"/>
              <w:rPr>
                <w:rFonts w:cs="Arial"/>
                <w:b/>
                <w:bCs/>
                <w:color w:val="auto"/>
                <w:sz w:val="22"/>
                <w:szCs w:val="22"/>
              </w:rPr>
            </w:pPr>
            <w:r w:rsidRPr="00C5029D">
              <w:rPr>
                <w:rFonts w:cs="Arial"/>
                <w:b/>
                <w:bCs/>
                <w:color w:val="auto"/>
                <w:sz w:val="22"/>
                <w:szCs w:val="22"/>
              </w:rPr>
              <w:t>Positive activities &amp; help to get into work</w:t>
            </w:r>
          </w:p>
        </w:tc>
        <w:tc>
          <w:tcPr>
            <w:tcW w:w="2171" w:type="dxa"/>
            <w:tcBorders>
              <w:top w:val="nil"/>
              <w:left w:val="nil"/>
              <w:bottom w:val="single" w:sz="4" w:space="0" w:color="auto"/>
              <w:right w:val="single" w:sz="4" w:space="0" w:color="auto"/>
            </w:tcBorders>
            <w:shd w:val="clear" w:color="000000" w:fill="B7DEE8"/>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B7DEE8"/>
            <w:vAlign w:val="center"/>
          </w:tcPr>
          <w:p w:rsidR="00C5029D" w:rsidRPr="00C5029D" w:rsidRDefault="00C5029D" w:rsidP="00226CCA">
            <w:pPr>
              <w:spacing w:beforeLines="60" w:before="144" w:afterLines="60" w:after="144"/>
              <w:jc w:val="center"/>
              <w:rPr>
                <w:rFonts w:cs="Arial"/>
                <w:b/>
                <w:bCs/>
                <w:color w:val="auto"/>
                <w:sz w:val="22"/>
                <w:szCs w:val="22"/>
              </w:rPr>
            </w:pPr>
            <w:r w:rsidRPr="00C5029D">
              <w:rPr>
                <w:rFonts w:cs="Arial"/>
                <w:b/>
                <w:bCs/>
                <w:color w:val="auto"/>
                <w:sz w:val="22"/>
                <w:szCs w:val="22"/>
              </w:rPr>
              <w:t>£</w:t>
            </w:r>
            <w:r w:rsidR="00226CCA">
              <w:rPr>
                <w:rFonts w:cs="Arial"/>
                <w:b/>
                <w:bCs/>
                <w:color w:val="auto"/>
                <w:sz w:val="22"/>
                <w:szCs w:val="22"/>
              </w:rPr>
              <w:t>220,981</w:t>
            </w:r>
          </w:p>
        </w:tc>
        <w:tc>
          <w:tcPr>
            <w:tcW w:w="1373" w:type="dxa"/>
            <w:tcBorders>
              <w:top w:val="single" w:sz="4" w:space="0" w:color="auto"/>
              <w:left w:val="single" w:sz="4" w:space="0" w:color="auto"/>
              <w:bottom w:val="single" w:sz="4" w:space="0" w:color="auto"/>
              <w:right w:val="single" w:sz="4" w:space="0" w:color="auto"/>
            </w:tcBorders>
            <w:shd w:val="clear" w:color="000000" w:fill="B7DEE8"/>
            <w:vAlign w:val="center"/>
          </w:tcPr>
          <w:p w:rsidR="00C5029D" w:rsidRPr="00C5029D" w:rsidRDefault="00C5029D" w:rsidP="00226CCA">
            <w:pPr>
              <w:spacing w:beforeLines="60" w:before="144" w:afterLines="60" w:after="144"/>
              <w:jc w:val="center"/>
              <w:rPr>
                <w:rFonts w:cs="Arial"/>
                <w:b/>
                <w:bCs/>
                <w:color w:val="auto"/>
                <w:sz w:val="22"/>
                <w:szCs w:val="22"/>
              </w:rPr>
            </w:pPr>
            <w:r w:rsidRPr="00C5029D">
              <w:rPr>
                <w:rFonts w:cs="Arial"/>
                <w:b/>
                <w:bCs/>
                <w:color w:val="auto"/>
                <w:sz w:val="22"/>
                <w:szCs w:val="22"/>
              </w:rPr>
              <w:t>£</w:t>
            </w:r>
            <w:r w:rsidR="00226CCA">
              <w:rPr>
                <w:rFonts w:cs="Arial"/>
                <w:b/>
                <w:bCs/>
                <w:color w:val="auto"/>
                <w:sz w:val="22"/>
                <w:szCs w:val="22"/>
              </w:rPr>
              <w:t>138,203</w:t>
            </w:r>
          </w:p>
        </w:tc>
        <w:tc>
          <w:tcPr>
            <w:tcW w:w="6766" w:type="dxa"/>
            <w:tcBorders>
              <w:top w:val="nil"/>
              <w:left w:val="single" w:sz="4" w:space="0" w:color="auto"/>
              <w:bottom w:val="single" w:sz="4" w:space="0" w:color="auto"/>
              <w:right w:val="single" w:sz="4" w:space="0" w:color="auto"/>
            </w:tcBorders>
            <w:shd w:val="clear" w:color="000000" w:fill="B7DEE8"/>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11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O'Hanlon House Day Centre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Homeless Oxfordshire</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£82,778</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B665EB">
            <w:pPr>
              <w:spacing w:beforeLines="60" w:before="144" w:afterLines="60" w:after="144"/>
              <w:jc w:val="center"/>
              <w:rPr>
                <w:rFonts w:cs="Arial"/>
                <w:color w:val="auto"/>
                <w:sz w:val="22"/>
                <w:szCs w:val="22"/>
              </w:rPr>
            </w:pPr>
            <w:r w:rsidRPr="00B665EB">
              <w:rPr>
                <w:rFonts w:cs="Arial"/>
                <w:color w:val="FF0000"/>
                <w:sz w:val="22"/>
                <w:szCs w:val="22"/>
              </w:rPr>
              <w:t>£</w:t>
            </w:r>
            <w:r w:rsidR="00B665EB" w:rsidRPr="00B665EB">
              <w:rPr>
                <w:rFonts w:cs="Arial"/>
                <w:color w:val="FF0000"/>
                <w:sz w:val="22"/>
                <w:szCs w:val="22"/>
              </w:rPr>
              <w:t>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Default="00C5029D" w:rsidP="00C5029D">
            <w:pPr>
              <w:spacing w:beforeLines="60" w:before="144" w:afterLines="60" w:after="144"/>
              <w:rPr>
                <w:rFonts w:cs="Arial"/>
                <w:color w:val="auto"/>
                <w:sz w:val="22"/>
                <w:szCs w:val="22"/>
              </w:rPr>
            </w:pPr>
            <w:r w:rsidRPr="00C5029D">
              <w:rPr>
                <w:rFonts w:cs="Arial"/>
                <w:color w:val="auto"/>
                <w:sz w:val="22"/>
                <w:szCs w:val="22"/>
              </w:rPr>
              <w:t>Funding for provision of day services – showers and laundry facilities as well as breakfast and lunch and any other activities taking place – for individuals rough sleeping in the City and working with outreach services to access suitable accommodation.</w:t>
            </w:r>
          </w:p>
          <w:p w:rsidR="00B665EB" w:rsidRPr="00C5029D" w:rsidRDefault="00B665EB" w:rsidP="00B665EB">
            <w:pPr>
              <w:spacing w:beforeLines="60" w:before="144" w:afterLines="60" w:after="144"/>
              <w:rPr>
                <w:rFonts w:cs="Arial"/>
                <w:color w:val="auto"/>
                <w:sz w:val="22"/>
                <w:szCs w:val="22"/>
              </w:rPr>
            </w:pPr>
            <w:r>
              <w:rPr>
                <w:rFonts w:cs="Arial"/>
                <w:color w:val="auto"/>
                <w:sz w:val="22"/>
                <w:szCs w:val="22"/>
              </w:rPr>
              <w:t>Covid has meant that these services have not been provided this year. However most rough sleepers have been accommodated for the majority of the year with access to support services.</w:t>
            </w:r>
          </w:p>
        </w:tc>
      </w:tr>
      <w:tr w:rsidR="00C5029D" w:rsidRPr="00C5029D" w:rsidTr="006054FE">
        <w:trPr>
          <w:trHeight w:val="7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Gatehouse Café</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Gatehouse</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£5,580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£5,580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226CCA">
            <w:pPr>
              <w:spacing w:beforeLines="60" w:before="144" w:afterLines="60" w:after="144"/>
              <w:rPr>
                <w:rFonts w:cs="Arial"/>
                <w:color w:val="auto"/>
                <w:sz w:val="22"/>
                <w:szCs w:val="22"/>
              </w:rPr>
            </w:pPr>
            <w:r w:rsidRPr="00C5029D">
              <w:rPr>
                <w:rFonts w:cs="Arial"/>
                <w:color w:val="auto"/>
                <w:sz w:val="22"/>
                <w:szCs w:val="22"/>
              </w:rPr>
              <w:t xml:space="preserve">Core funding for the Gatehouse café, to support and engage </w:t>
            </w:r>
            <w:r w:rsidR="00226CCA">
              <w:rPr>
                <w:rFonts w:cs="Arial"/>
                <w:color w:val="auto"/>
                <w:sz w:val="22"/>
                <w:szCs w:val="22"/>
              </w:rPr>
              <w:t>people sleeping rough</w:t>
            </w:r>
            <w:r w:rsidRPr="00C5029D">
              <w:rPr>
                <w:rFonts w:cs="Arial"/>
                <w:color w:val="auto"/>
                <w:sz w:val="22"/>
                <w:szCs w:val="22"/>
              </w:rPr>
              <w:t xml:space="preserve"> to access accommodation and specialist support</w:t>
            </w:r>
            <w:r w:rsidR="00226CCA">
              <w:rPr>
                <w:rFonts w:cs="Arial"/>
                <w:color w:val="auto"/>
                <w:sz w:val="22"/>
                <w:szCs w:val="22"/>
              </w:rPr>
              <w:t>.</w:t>
            </w:r>
          </w:p>
        </w:tc>
      </w:tr>
      <w:tr w:rsidR="00C5029D" w:rsidRPr="00C5029D" w:rsidTr="006054FE">
        <w:trPr>
          <w:trHeight w:val="11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lastRenderedPageBreak/>
              <w:t>The Porch Day Centre</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The Porch</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£55,000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£55,000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Core funding for The Porch (formerly known as Steppin’ Stone) daycentre to support rough sleepers and those vulnerably housed through a range of activities, training and education and where appropriate sign post clients to more appropriate services. </w:t>
            </w:r>
          </w:p>
        </w:tc>
      </w:tr>
      <w:tr w:rsidR="00C5029D" w:rsidRPr="00C5029D" w:rsidTr="006054F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Aspire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Aspire Oxford</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£77,623</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£77,623</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2 FTE Education, Training and Employment workers to provide training and employment opportunities for homeless and/or vulnerably housed individuals in the City. Aspire is a social enterprise working towards becoming self-sufficient. </w:t>
            </w:r>
          </w:p>
        </w:tc>
      </w:tr>
      <w:tr w:rsidR="00C5029D" w:rsidRPr="00C5029D" w:rsidTr="006054FE">
        <w:trPr>
          <w:trHeight w:val="445"/>
        </w:trPr>
        <w:tc>
          <w:tcPr>
            <w:tcW w:w="2835" w:type="dxa"/>
            <w:tcBorders>
              <w:top w:val="nil"/>
              <w:left w:val="single" w:sz="4" w:space="0" w:color="auto"/>
              <w:bottom w:val="nil"/>
              <w:right w:val="single" w:sz="4" w:space="0" w:color="auto"/>
            </w:tcBorders>
            <w:shd w:val="clear" w:color="000000" w:fill="DA9694"/>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Other</w:t>
            </w:r>
          </w:p>
        </w:tc>
        <w:tc>
          <w:tcPr>
            <w:tcW w:w="2171" w:type="dxa"/>
            <w:tcBorders>
              <w:top w:val="nil"/>
              <w:left w:val="nil"/>
              <w:bottom w:val="nil"/>
              <w:right w:val="single" w:sz="4" w:space="0" w:color="auto"/>
            </w:tcBorders>
            <w:shd w:val="clear" w:color="000000" w:fill="DA9694"/>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DA9694"/>
            <w:vAlign w:val="center"/>
          </w:tcPr>
          <w:p w:rsidR="00C5029D" w:rsidRPr="00C5029D" w:rsidRDefault="00C5029D" w:rsidP="00FB4955">
            <w:pPr>
              <w:spacing w:beforeLines="60" w:before="144" w:afterLines="60" w:after="144"/>
              <w:jc w:val="center"/>
              <w:rPr>
                <w:rFonts w:cs="Arial"/>
                <w:b/>
                <w:bCs/>
                <w:color w:val="auto"/>
                <w:sz w:val="22"/>
                <w:szCs w:val="22"/>
              </w:rPr>
            </w:pPr>
            <w:r w:rsidRPr="00C5029D">
              <w:rPr>
                <w:rFonts w:cs="Arial"/>
                <w:b/>
                <w:bCs/>
                <w:color w:val="auto"/>
                <w:sz w:val="22"/>
                <w:szCs w:val="22"/>
              </w:rPr>
              <w:t>£</w:t>
            </w:r>
            <w:r w:rsidR="00FB4955">
              <w:rPr>
                <w:rFonts w:cs="Arial"/>
                <w:b/>
                <w:bCs/>
                <w:color w:val="auto"/>
                <w:sz w:val="22"/>
                <w:szCs w:val="22"/>
              </w:rPr>
              <w:t>207,500</w:t>
            </w:r>
          </w:p>
        </w:tc>
        <w:tc>
          <w:tcPr>
            <w:tcW w:w="1373" w:type="dxa"/>
            <w:tcBorders>
              <w:top w:val="single" w:sz="4" w:space="0" w:color="auto"/>
              <w:left w:val="single" w:sz="4" w:space="0" w:color="auto"/>
              <w:bottom w:val="single" w:sz="4" w:space="0" w:color="auto"/>
              <w:right w:val="single" w:sz="4" w:space="0" w:color="auto"/>
            </w:tcBorders>
            <w:shd w:val="clear" w:color="000000" w:fill="DA9694"/>
            <w:vAlign w:val="center"/>
          </w:tcPr>
          <w:p w:rsidR="00C5029D" w:rsidRPr="00C5029D" w:rsidRDefault="00C5029D" w:rsidP="00FB4955">
            <w:pPr>
              <w:spacing w:beforeLines="60" w:before="144" w:afterLines="60" w:after="144"/>
              <w:jc w:val="center"/>
              <w:rPr>
                <w:rFonts w:cs="Arial"/>
                <w:b/>
                <w:bCs/>
                <w:color w:val="auto"/>
                <w:sz w:val="22"/>
                <w:szCs w:val="22"/>
              </w:rPr>
            </w:pPr>
            <w:r w:rsidRPr="00C5029D">
              <w:rPr>
                <w:rFonts w:cs="Arial"/>
                <w:b/>
                <w:bCs/>
                <w:color w:val="auto"/>
                <w:sz w:val="22"/>
                <w:szCs w:val="22"/>
              </w:rPr>
              <w:t>£</w:t>
            </w:r>
            <w:r w:rsidR="00FB4955">
              <w:rPr>
                <w:rFonts w:cs="Arial"/>
                <w:b/>
                <w:bCs/>
                <w:color w:val="auto"/>
                <w:sz w:val="22"/>
                <w:szCs w:val="22"/>
              </w:rPr>
              <w:t>201,000</w:t>
            </w:r>
          </w:p>
        </w:tc>
        <w:tc>
          <w:tcPr>
            <w:tcW w:w="6766" w:type="dxa"/>
            <w:tcBorders>
              <w:top w:val="nil"/>
              <w:left w:val="single" w:sz="4" w:space="0" w:color="auto"/>
              <w:bottom w:val="nil"/>
              <w:right w:val="single" w:sz="4" w:space="0" w:color="auto"/>
            </w:tcBorders>
            <w:shd w:val="clear" w:color="000000" w:fill="DA9694"/>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Single Homelessness Team (current arrangements)</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C5029D" w:rsidRPr="00FB4955" w:rsidRDefault="00C5029D" w:rsidP="00FB4955">
            <w:pPr>
              <w:spacing w:beforeLines="60" w:before="144" w:afterLines="60" w:after="144"/>
              <w:jc w:val="center"/>
              <w:rPr>
                <w:rFonts w:cs="Arial"/>
                <w:color w:val="auto"/>
                <w:sz w:val="22"/>
                <w:szCs w:val="22"/>
              </w:rPr>
            </w:pPr>
            <w:r w:rsidRPr="00FB4955">
              <w:rPr>
                <w:rFonts w:cs="Arial"/>
                <w:color w:val="auto"/>
                <w:sz w:val="22"/>
                <w:szCs w:val="22"/>
              </w:rPr>
              <w:t>£1</w:t>
            </w:r>
            <w:r w:rsidR="00226CCA" w:rsidRPr="00FB4955">
              <w:rPr>
                <w:rFonts w:cs="Arial"/>
                <w:color w:val="auto"/>
                <w:sz w:val="22"/>
                <w:szCs w:val="22"/>
              </w:rPr>
              <w:t>96</w:t>
            </w:r>
            <w:r w:rsidRPr="00FB4955">
              <w:rPr>
                <w:rFonts w:cs="Arial"/>
                <w:color w:val="auto"/>
                <w:sz w:val="22"/>
                <w:szCs w:val="22"/>
              </w:rPr>
              <w:t>,000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FB4955" w:rsidRDefault="00226CCA" w:rsidP="00FB4955">
            <w:pPr>
              <w:spacing w:beforeLines="60" w:before="144" w:afterLines="60" w:after="144"/>
              <w:jc w:val="center"/>
              <w:rPr>
                <w:rFonts w:cs="Arial"/>
                <w:color w:val="auto"/>
                <w:sz w:val="22"/>
                <w:szCs w:val="22"/>
              </w:rPr>
            </w:pPr>
            <w:r w:rsidRPr="00FB4955">
              <w:rPr>
                <w:rFonts w:cs="Arial"/>
                <w:color w:val="auto"/>
                <w:sz w:val="22"/>
                <w:szCs w:val="22"/>
              </w:rPr>
              <w:t>£</w:t>
            </w:r>
            <w:r w:rsidR="00FB4955">
              <w:rPr>
                <w:rFonts w:cs="Arial"/>
                <w:color w:val="auto"/>
                <w:sz w:val="22"/>
                <w:szCs w:val="22"/>
              </w:rPr>
              <w:t>196,000</w:t>
            </w:r>
          </w:p>
        </w:tc>
        <w:tc>
          <w:tcPr>
            <w:tcW w:w="6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contribution towards the Council’s Rough Sleeping and Single Homelessness Team. </w:t>
            </w:r>
          </w:p>
        </w:tc>
      </w:tr>
      <w:tr w:rsidR="00C5029D" w:rsidRPr="00C5029D" w:rsidTr="006054F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w:t>
            </w:r>
            <w:r w:rsidR="008C1D94">
              <w:rPr>
                <w:rFonts w:cs="Arial"/>
                <w:color w:val="auto"/>
                <w:sz w:val="22"/>
                <w:szCs w:val="22"/>
              </w:rPr>
              <w:t>THINK (formerly Ox</w:t>
            </w:r>
            <w:r w:rsidRPr="00C5029D">
              <w:rPr>
                <w:rFonts w:cs="Arial"/>
                <w:color w:val="auto"/>
                <w:sz w:val="22"/>
                <w:szCs w:val="22"/>
              </w:rPr>
              <w:t>ford</w:t>
            </w:r>
            <w:r w:rsidR="008C1D94">
              <w:rPr>
                <w:rFonts w:cs="Arial"/>
                <w:color w:val="auto"/>
                <w:sz w:val="22"/>
                <w:szCs w:val="22"/>
              </w:rPr>
              <w:t xml:space="preserve"> </w:t>
            </w:r>
            <w:r w:rsidRPr="00C5029D">
              <w:rPr>
                <w:rFonts w:cs="Arial"/>
                <w:color w:val="auto"/>
                <w:sz w:val="22"/>
                <w:szCs w:val="22"/>
              </w:rPr>
              <w:t>CHAIN</w:t>
            </w:r>
            <w:r w:rsidR="008C1D94">
              <w:rPr>
                <w:rFonts w:cs="Arial"/>
                <w:color w:val="auto"/>
                <w:sz w:val="22"/>
                <w:szCs w:val="22"/>
              </w:rPr>
              <w:t>)</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Real Systems</w:t>
            </w:r>
          </w:p>
        </w:tc>
        <w:tc>
          <w:tcPr>
            <w:tcW w:w="1422" w:type="dxa"/>
            <w:tcBorders>
              <w:top w:val="single" w:sz="4" w:space="0" w:color="auto"/>
              <w:left w:val="nil"/>
              <w:bottom w:val="single" w:sz="4" w:space="0" w:color="auto"/>
              <w:right w:val="single" w:sz="4" w:space="0" w:color="auto"/>
            </w:tcBorders>
            <w:vAlign w:val="center"/>
          </w:tcPr>
          <w:p w:rsidR="00C5029D" w:rsidRPr="00FB4955" w:rsidRDefault="00C5029D" w:rsidP="00FB4955">
            <w:pPr>
              <w:spacing w:beforeLines="60" w:before="144" w:afterLines="60" w:after="144"/>
              <w:jc w:val="center"/>
              <w:rPr>
                <w:rFonts w:cs="Arial"/>
                <w:color w:val="auto"/>
                <w:sz w:val="22"/>
                <w:szCs w:val="22"/>
              </w:rPr>
            </w:pPr>
            <w:r w:rsidRPr="00FB4955">
              <w:rPr>
                <w:rFonts w:cs="Arial"/>
                <w:color w:val="auto"/>
                <w:sz w:val="22"/>
                <w:szCs w:val="22"/>
              </w:rPr>
              <w:t>£5,</w:t>
            </w:r>
            <w:r w:rsidR="00226CCA" w:rsidRPr="00FB4955">
              <w:rPr>
                <w:rFonts w:cs="Arial"/>
                <w:color w:val="auto"/>
                <w:sz w:val="22"/>
                <w:szCs w:val="22"/>
              </w:rPr>
              <w:t>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FB4955" w:rsidRDefault="008C1D94" w:rsidP="00FB4955">
            <w:pPr>
              <w:spacing w:beforeLines="60" w:before="144" w:afterLines="60" w:after="144"/>
              <w:jc w:val="center"/>
              <w:rPr>
                <w:rFonts w:cs="Arial"/>
                <w:color w:val="auto"/>
                <w:sz w:val="22"/>
                <w:szCs w:val="22"/>
              </w:rPr>
            </w:pPr>
            <w:r w:rsidRPr="00FB4955">
              <w:rPr>
                <w:rFonts w:cs="Arial"/>
                <w:color w:val="000000" w:themeColor="text1"/>
                <w:sz w:val="22"/>
                <w:szCs w:val="22"/>
              </w:rPr>
              <w:t>£5,</w:t>
            </w:r>
            <w:r w:rsidR="00226CCA" w:rsidRPr="00FB4955">
              <w:rPr>
                <w:rFonts w:cs="Arial"/>
                <w:color w:val="000000" w:themeColor="text1"/>
                <w:sz w:val="22"/>
                <w:szCs w:val="22"/>
              </w:rPr>
              <w:t>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DC2444" w:rsidP="00205D2B">
            <w:pPr>
              <w:spacing w:beforeLines="60" w:before="144" w:afterLines="60" w:after="144"/>
              <w:rPr>
                <w:rFonts w:cs="Arial"/>
                <w:color w:val="auto"/>
                <w:sz w:val="22"/>
                <w:szCs w:val="22"/>
              </w:rPr>
            </w:pPr>
            <w:r w:rsidRPr="00DC2444">
              <w:rPr>
                <w:rFonts w:cs="Arial"/>
                <w:bCs/>
                <w:color w:val="auto"/>
                <w:sz w:val="22"/>
                <w:szCs w:val="22"/>
              </w:rPr>
              <w:t xml:space="preserve">Core funding to maintain web-based database management system that collates data and provides monitoring reports on rough sleeping. </w:t>
            </w:r>
          </w:p>
        </w:tc>
      </w:tr>
      <w:tr w:rsidR="00226CCA" w:rsidRPr="00C5029D" w:rsidTr="000A3DA1">
        <w:trPr>
          <w:trHeight w:val="255"/>
        </w:trPr>
        <w:tc>
          <w:tcPr>
            <w:tcW w:w="2835" w:type="dxa"/>
            <w:tcBorders>
              <w:top w:val="nil"/>
              <w:left w:val="single" w:sz="4" w:space="0" w:color="auto"/>
              <w:bottom w:val="single" w:sz="4" w:space="0" w:color="auto"/>
              <w:right w:val="single" w:sz="4" w:space="0" w:color="auto"/>
            </w:tcBorders>
            <w:shd w:val="clear" w:color="auto" w:fill="auto"/>
          </w:tcPr>
          <w:p w:rsidR="00226CCA" w:rsidRPr="000B1DCE" w:rsidRDefault="00226CCA" w:rsidP="00226CCA">
            <w:r w:rsidRPr="000B1DCE">
              <w:t>Access to leisure services</w:t>
            </w:r>
          </w:p>
        </w:tc>
        <w:tc>
          <w:tcPr>
            <w:tcW w:w="2171" w:type="dxa"/>
            <w:tcBorders>
              <w:top w:val="nil"/>
              <w:left w:val="nil"/>
              <w:bottom w:val="single" w:sz="4" w:space="0" w:color="auto"/>
              <w:right w:val="single" w:sz="4" w:space="0" w:color="auto"/>
            </w:tcBorders>
            <w:shd w:val="clear" w:color="auto" w:fill="auto"/>
            <w:noWrap/>
          </w:tcPr>
          <w:p w:rsidR="00226CCA" w:rsidRPr="000B1DCE" w:rsidRDefault="00226CCA" w:rsidP="00226CCA">
            <w:r w:rsidRPr="000B1DCE">
              <w:t>Fusion</w:t>
            </w:r>
          </w:p>
        </w:tc>
        <w:tc>
          <w:tcPr>
            <w:tcW w:w="1422" w:type="dxa"/>
            <w:tcBorders>
              <w:top w:val="single" w:sz="4" w:space="0" w:color="auto"/>
              <w:left w:val="nil"/>
              <w:bottom w:val="single" w:sz="4" w:space="0" w:color="auto"/>
              <w:right w:val="single" w:sz="4" w:space="0" w:color="auto"/>
            </w:tcBorders>
          </w:tcPr>
          <w:p w:rsidR="00226CCA" w:rsidRPr="00FB4955" w:rsidRDefault="00226CCA" w:rsidP="00FB4955">
            <w:pPr>
              <w:jc w:val="center"/>
              <w:rPr>
                <w:sz w:val="22"/>
                <w:szCs w:val="22"/>
              </w:rPr>
            </w:pPr>
            <w:r w:rsidRPr="00FB4955">
              <w:rPr>
                <w:sz w:val="22"/>
                <w:szCs w:val="22"/>
              </w:rPr>
              <w:t>£5,000</w:t>
            </w:r>
          </w:p>
        </w:tc>
        <w:tc>
          <w:tcPr>
            <w:tcW w:w="1373" w:type="dxa"/>
            <w:tcBorders>
              <w:top w:val="single" w:sz="4" w:space="0" w:color="auto"/>
              <w:left w:val="single" w:sz="4" w:space="0" w:color="auto"/>
              <w:bottom w:val="single" w:sz="4" w:space="0" w:color="auto"/>
              <w:right w:val="single" w:sz="4" w:space="0" w:color="auto"/>
            </w:tcBorders>
          </w:tcPr>
          <w:p w:rsidR="00226CCA" w:rsidRPr="00FB4955" w:rsidRDefault="00226CCA" w:rsidP="00FB4955">
            <w:pPr>
              <w:jc w:val="center"/>
              <w:rPr>
                <w:sz w:val="22"/>
                <w:szCs w:val="22"/>
              </w:rPr>
            </w:pPr>
            <w:r w:rsidRPr="00FB4955">
              <w:rPr>
                <w:sz w:val="22"/>
                <w:szCs w:val="22"/>
              </w:rPr>
              <w:t>£0</w:t>
            </w:r>
          </w:p>
        </w:tc>
        <w:tc>
          <w:tcPr>
            <w:tcW w:w="6766" w:type="dxa"/>
            <w:tcBorders>
              <w:top w:val="nil"/>
              <w:left w:val="single" w:sz="4" w:space="0" w:color="auto"/>
              <w:bottom w:val="single" w:sz="4" w:space="0" w:color="auto"/>
              <w:right w:val="single" w:sz="4" w:space="0" w:color="auto"/>
            </w:tcBorders>
            <w:shd w:val="clear" w:color="auto" w:fill="auto"/>
            <w:noWrap/>
          </w:tcPr>
          <w:p w:rsidR="00226CCA" w:rsidRPr="00FB4955" w:rsidRDefault="00226CCA" w:rsidP="00226CCA">
            <w:pPr>
              <w:rPr>
                <w:sz w:val="22"/>
                <w:szCs w:val="22"/>
              </w:rPr>
            </w:pPr>
            <w:r w:rsidRPr="00FB4955">
              <w:rPr>
                <w:sz w:val="22"/>
                <w:szCs w:val="22"/>
              </w:rPr>
              <w:t xml:space="preserve">To support former rough sleepers to access the Council’s leisure facilities free of charge. </w:t>
            </w:r>
            <w:r w:rsidR="00FB4955">
              <w:rPr>
                <w:sz w:val="22"/>
                <w:szCs w:val="22"/>
              </w:rPr>
              <w:t>As leisure centres have been unavailable for the majority of the year, there has been no take up of this provision.</w:t>
            </w:r>
          </w:p>
        </w:tc>
      </w:tr>
      <w:tr w:rsidR="00226CCA" w:rsidRPr="00C5029D" w:rsidTr="006061B8">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26CCA" w:rsidRPr="000A71B8" w:rsidRDefault="00226CCA" w:rsidP="00226CCA">
            <w:pPr>
              <w:spacing w:beforeLines="60" w:before="144" w:afterLines="60" w:after="144"/>
              <w:rPr>
                <w:rFonts w:cs="Arial"/>
                <w:color w:val="auto"/>
                <w:sz w:val="22"/>
                <w:szCs w:val="22"/>
              </w:rPr>
            </w:pPr>
            <w:r w:rsidRPr="000A71B8">
              <w:rPr>
                <w:rFonts w:cs="Arial"/>
                <w:color w:val="auto"/>
                <w:sz w:val="22"/>
                <w:szCs w:val="22"/>
              </w:rPr>
              <w:t>Conti</w:t>
            </w:r>
            <w:r>
              <w:rPr>
                <w:rFonts w:cs="Arial"/>
                <w:color w:val="auto"/>
                <w:sz w:val="22"/>
                <w:szCs w:val="22"/>
              </w:rPr>
              <w:t>n</w:t>
            </w:r>
            <w:r w:rsidRPr="000A71B8">
              <w:rPr>
                <w:rFonts w:cs="Arial"/>
                <w:color w:val="auto"/>
                <w:sz w:val="22"/>
                <w:szCs w:val="22"/>
              </w:rPr>
              <w:t>gency</w:t>
            </w:r>
          </w:p>
        </w:tc>
        <w:tc>
          <w:tcPr>
            <w:tcW w:w="2171" w:type="dxa"/>
            <w:tcBorders>
              <w:top w:val="nil"/>
              <w:left w:val="nil"/>
              <w:bottom w:val="single" w:sz="4" w:space="0" w:color="auto"/>
              <w:right w:val="single" w:sz="4" w:space="0" w:color="auto"/>
            </w:tcBorders>
            <w:shd w:val="clear" w:color="auto" w:fill="auto"/>
            <w:noWrap/>
            <w:vAlign w:val="center"/>
            <w:hideMark/>
          </w:tcPr>
          <w:p w:rsidR="00226CCA" w:rsidRPr="000A71B8" w:rsidRDefault="00FB4955" w:rsidP="00C5029D">
            <w:pPr>
              <w:spacing w:beforeLines="60" w:before="144" w:afterLines="60" w:after="144"/>
              <w:rPr>
                <w:rFonts w:cs="Arial"/>
                <w:color w:val="auto"/>
                <w:sz w:val="22"/>
                <w:szCs w:val="22"/>
              </w:rPr>
            </w:pPr>
            <w:r>
              <w:rPr>
                <w:rFonts w:cs="Arial"/>
                <w:color w:val="auto"/>
                <w:sz w:val="22"/>
                <w:szCs w:val="22"/>
              </w:rPr>
              <w:t>To be confirmed</w:t>
            </w:r>
          </w:p>
        </w:tc>
        <w:tc>
          <w:tcPr>
            <w:tcW w:w="1422" w:type="dxa"/>
            <w:tcBorders>
              <w:left w:val="nil"/>
              <w:bottom w:val="single" w:sz="4" w:space="0" w:color="auto"/>
              <w:right w:val="single" w:sz="4" w:space="0" w:color="auto"/>
            </w:tcBorders>
            <w:vAlign w:val="center"/>
          </w:tcPr>
          <w:p w:rsidR="00226CCA" w:rsidRPr="000A71B8" w:rsidRDefault="00FB4955" w:rsidP="00C5029D">
            <w:pPr>
              <w:spacing w:beforeLines="60" w:before="144" w:afterLines="60" w:after="144"/>
              <w:jc w:val="center"/>
              <w:rPr>
                <w:rFonts w:cs="Arial"/>
                <w:color w:val="auto"/>
                <w:sz w:val="22"/>
                <w:szCs w:val="22"/>
              </w:rPr>
            </w:pPr>
            <w:r>
              <w:rPr>
                <w:rFonts w:cs="Arial"/>
                <w:color w:val="auto"/>
                <w:sz w:val="22"/>
                <w:szCs w:val="22"/>
              </w:rPr>
              <w:t>£1,500</w:t>
            </w:r>
          </w:p>
        </w:tc>
        <w:tc>
          <w:tcPr>
            <w:tcW w:w="1373" w:type="dxa"/>
            <w:tcBorders>
              <w:left w:val="single" w:sz="4" w:space="0" w:color="auto"/>
              <w:bottom w:val="single" w:sz="4" w:space="0" w:color="auto"/>
              <w:right w:val="single" w:sz="4" w:space="0" w:color="auto"/>
            </w:tcBorders>
            <w:vAlign w:val="center"/>
          </w:tcPr>
          <w:p w:rsidR="00226CCA" w:rsidRPr="000A71B8" w:rsidRDefault="00FB4955" w:rsidP="00C5029D">
            <w:pPr>
              <w:spacing w:beforeLines="60" w:before="144" w:afterLines="60" w:after="144"/>
              <w:jc w:val="center"/>
              <w:rPr>
                <w:rFonts w:cs="Arial"/>
                <w:color w:val="auto"/>
                <w:sz w:val="22"/>
                <w:szCs w:val="22"/>
              </w:rPr>
            </w:pPr>
            <w:r>
              <w:rPr>
                <w:rFonts w:cs="Arial"/>
                <w:color w:val="auto"/>
                <w:sz w:val="22"/>
                <w:szCs w:val="22"/>
              </w:rPr>
              <w:t>£0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26CCA" w:rsidRPr="00FB4955" w:rsidRDefault="00226CCA" w:rsidP="00FB4955">
            <w:pPr>
              <w:spacing w:beforeLines="60" w:before="144" w:afterLines="60" w:after="144"/>
              <w:rPr>
                <w:rFonts w:cs="Arial"/>
                <w:color w:val="auto"/>
                <w:sz w:val="22"/>
                <w:szCs w:val="22"/>
              </w:rPr>
            </w:pPr>
            <w:r w:rsidRPr="00FB4955">
              <w:rPr>
                <w:rFonts w:cs="Arial"/>
                <w:color w:val="auto"/>
                <w:sz w:val="22"/>
                <w:szCs w:val="22"/>
              </w:rPr>
              <w:t xml:space="preserve">Funding put aside for in-year changes to committed allocations. </w:t>
            </w:r>
          </w:p>
        </w:tc>
      </w:tr>
      <w:tr w:rsidR="006054FE" w:rsidRPr="00C5029D" w:rsidTr="006054FE">
        <w:trPr>
          <w:trHeight w:val="255"/>
        </w:trPr>
        <w:tc>
          <w:tcPr>
            <w:tcW w:w="50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054FE" w:rsidRPr="00C5029D" w:rsidRDefault="006054FE" w:rsidP="00C5029D">
            <w:pPr>
              <w:spacing w:beforeLines="60" w:before="144" w:afterLines="60" w:after="144"/>
              <w:rPr>
                <w:rFonts w:cs="Arial"/>
                <w:b/>
                <w:bCs/>
                <w:color w:val="auto"/>
                <w:sz w:val="22"/>
                <w:szCs w:val="22"/>
              </w:rPr>
            </w:pPr>
            <w:r w:rsidRPr="00C5029D">
              <w:rPr>
                <w:rFonts w:cs="Arial"/>
                <w:b/>
                <w:bCs/>
                <w:color w:val="auto"/>
                <w:sz w:val="22"/>
                <w:szCs w:val="22"/>
              </w:rPr>
              <w:t>Total allocated/committed</w:t>
            </w:r>
          </w:p>
          <w:p w:rsidR="006054FE" w:rsidRPr="00C5029D" w:rsidRDefault="006054FE"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F2F2F2"/>
          </w:tcPr>
          <w:p w:rsidR="006054FE" w:rsidRPr="00C5029D" w:rsidRDefault="006054FE" w:rsidP="00C5029D">
            <w:pPr>
              <w:jc w:val="center"/>
              <w:rPr>
                <w:rFonts w:cs="Arial"/>
                <w:b/>
                <w:bCs/>
                <w:sz w:val="22"/>
                <w:szCs w:val="22"/>
              </w:rPr>
            </w:pPr>
          </w:p>
          <w:p w:rsidR="006054FE" w:rsidRPr="00C5029D" w:rsidRDefault="006054FE" w:rsidP="00FB4955">
            <w:pPr>
              <w:jc w:val="center"/>
              <w:rPr>
                <w:rFonts w:cs="Arial"/>
                <w:b/>
                <w:bCs/>
                <w:sz w:val="22"/>
                <w:szCs w:val="22"/>
              </w:rPr>
            </w:pPr>
            <w:r w:rsidRPr="00C5029D">
              <w:rPr>
                <w:rFonts w:cs="Arial"/>
                <w:b/>
                <w:bCs/>
                <w:sz w:val="22"/>
                <w:szCs w:val="22"/>
              </w:rPr>
              <w:t>1,</w:t>
            </w:r>
            <w:r w:rsidR="00FB4955">
              <w:rPr>
                <w:rFonts w:cs="Arial"/>
                <w:b/>
                <w:bCs/>
                <w:sz w:val="22"/>
                <w:szCs w:val="22"/>
              </w:rPr>
              <w:t>401,842</w:t>
            </w:r>
          </w:p>
        </w:tc>
        <w:tc>
          <w:tcPr>
            <w:tcW w:w="1373" w:type="dxa"/>
            <w:tcBorders>
              <w:top w:val="single" w:sz="4" w:space="0" w:color="auto"/>
              <w:left w:val="single" w:sz="4" w:space="0" w:color="auto"/>
              <w:bottom w:val="single" w:sz="4" w:space="0" w:color="auto"/>
              <w:right w:val="single" w:sz="4" w:space="0" w:color="auto"/>
            </w:tcBorders>
            <w:shd w:val="clear" w:color="000000" w:fill="F2F2F2"/>
          </w:tcPr>
          <w:p w:rsidR="006054FE" w:rsidRPr="00696178" w:rsidRDefault="006054FE" w:rsidP="00C5029D">
            <w:pPr>
              <w:jc w:val="center"/>
              <w:rPr>
                <w:rFonts w:cs="Arial"/>
                <w:b/>
                <w:bCs/>
                <w:sz w:val="22"/>
                <w:szCs w:val="22"/>
              </w:rPr>
            </w:pPr>
          </w:p>
          <w:p w:rsidR="006054FE" w:rsidRPr="00902D72" w:rsidRDefault="006054FE" w:rsidP="00902D72">
            <w:pPr>
              <w:spacing w:after="0"/>
              <w:jc w:val="center"/>
              <w:rPr>
                <w:rFonts w:cs="Arial"/>
                <w:b/>
                <w:bCs/>
                <w:sz w:val="22"/>
                <w:szCs w:val="22"/>
              </w:rPr>
            </w:pPr>
            <w:r w:rsidRPr="00902D72">
              <w:rPr>
                <w:rFonts w:cs="Arial"/>
                <w:b/>
                <w:bCs/>
                <w:sz w:val="22"/>
                <w:szCs w:val="22"/>
              </w:rPr>
              <w:t>£</w:t>
            </w:r>
            <w:r>
              <w:rPr>
                <w:rFonts w:cs="Arial"/>
                <w:b/>
                <w:bCs/>
                <w:sz w:val="22"/>
                <w:szCs w:val="22"/>
              </w:rPr>
              <w:t>1,</w:t>
            </w:r>
            <w:r w:rsidR="00FB4955">
              <w:rPr>
                <w:rFonts w:cs="Arial"/>
                <w:b/>
                <w:bCs/>
                <w:sz w:val="22"/>
                <w:szCs w:val="22"/>
              </w:rPr>
              <w:t>2</w:t>
            </w:r>
            <w:r w:rsidR="00CC5ECF">
              <w:rPr>
                <w:rFonts w:cs="Arial"/>
                <w:b/>
                <w:bCs/>
                <w:sz w:val="22"/>
                <w:szCs w:val="22"/>
              </w:rPr>
              <w:t>7</w:t>
            </w:r>
            <w:r w:rsidR="00FB4955">
              <w:rPr>
                <w:rFonts w:cs="Arial"/>
                <w:b/>
                <w:bCs/>
                <w:sz w:val="22"/>
                <w:szCs w:val="22"/>
              </w:rPr>
              <w:t>0,6</w:t>
            </w:r>
            <w:r w:rsidR="00CC5ECF">
              <w:rPr>
                <w:rFonts w:cs="Arial"/>
                <w:b/>
                <w:bCs/>
                <w:sz w:val="22"/>
                <w:szCs w:val="22"/>
              </w:rPr>
              <w:t>57</w:t>
            </w:r>
          </w:p>
          <w:p w:rsidR="006054FE" w:rsidRPr="00696178" w:rsidRDefault="006054FE" w:rsidP="00696178">
            <w:pPr>
              <w:spacing w:after="0"/>
              <w:jc w:val="center"/>
              <w:rPr>
                <w:rFonts w:cs="Arial"/>
                <w:b/>
                <w:bCs/>
                <w:sz w:val="22"/>
                <w:szCs w:val="22"/>
              </w:rPr>
            </w:pPr>
          </w:p>
          <w:p w:rsidR="006054FE" w:rsidRPr="00696178" w:rsidRDefault="006054FE" w:rsidP="00696178">
            <w:pPr>
              <w:rPr>
                <w:rFonts w:cs="Arial"/>
                <w:b/>
                <w:bCs/>
                <w:sz w:val="22"/>
                <w:szCs w:val="22"/>
              </w:rPr>
            </w:pPr>
          </w:p>
        </w:tc>
        <w:tc>
          <w:tcPr>
            <w:tcW w:w="67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054FE" w:rsidRPr="00C5029D" w:rsidRDefault="006054FE"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255"/>
        </w:trPr>
        <w:tc>
          <w:tcPr>
            <w:tcW w:w="2835" w:type="dxa"/>
            <w:tcBorders>
              <w:top w:val="nil"/>
              <w:left w:val="nil"/>
              <w:bottom w:val="nil"/>
              <w:right w:val="nil"/>
            </w:tcBorders>
            <w:shd w:val="clear" w:color="auto" w:fill="auto"/>
            <w:noWrap/>
            <w:vAlign w:val="bottom"/>
            <w:hideMark/>
          </w:tcPr>
          <w:p w:rsidR="00C5029D" w:rsidRPr="00C5029D" w:rsidRDefault="00C5029D" w:rsidP="00C5029D">
            <w:pPr>
              <w:spacing w:after="0"/>
              <w:rPr>
                <w:rFonts w:cs="Arial"/>
                <w:color w:val="DD0806"/>
                <w:sz w:val="22"/>
                <w:szCs w:val="22"/>
              </w:rPr>
            </w:pPr>
          </w:p>
        </w:tc>
        <w:tc>
          <w:tcPr>
            <w:tcW w:w="2171" w:type="dxa"/>
            <w:tcBorders>
              <w:top w:val="nil"/>
              <w:left w:val="nil"/>
              <w:bottom w:val="nil"/>
              <w:right w:val="nil"/>
            </w:tcBorders>
            <w:shd w:val="clear" w:color="auto" w:fill="auto"/>
            <w:noWrap/>
            <w:vAlign w:val="bottom"/>
          </w:tcPr>
          <w:p w:rsidR="00C5029D" w:rsidRPr="00C5029D" w:rsidRDefault="00C5029D" w:rsidP="00C5029D">
            <w:pPr>
              <w:spacing w:after="0"/>
              <w:rPr>
                <w:rFonts w:cs="Arial"/>
                <w:color w:val="DD0806"/>
                <w:sz w:val="22"/>
                <w:szCs w:val="22"/>
              </w:rPr>
            </w:pPr>
          </w:p>
        </w:tc>
        <w:tc>
          <w:tcPr>
            <w:tcW w:w="1422" w:type="dxa"/>
            <w:tcBorders>
              <w:top w:val="single" w:sz="4" w:space="0" w:color="auto"/>
              <w:left w:val="nil"/>
              <w:bottom w:val="nil"/>
              <w:right w:val="single" w:sz="4" w:space="0" w:color="auto"/>
            </w:tcBorders>
          </w:tcPr>
          <w:p w:rsidR="00C5029D" w:rsidRPr="00C5029D" w:rsidRDefault="00C5029D" w:rsidP="00C5029D">
            <w:pPr>
              <w:spacing w:after="0"/>
              <w:rPr>
                <w:rFonts w:cs="Arial"/>
                <w:color w:val="DD0806"/>
                <w:sz w:val="22"/>
                <w:szCs w:val="22"/>
              </w:rPr>
            </w:pPr>
          </w:p>
        </w:tc>
        <w:tc>
          <w:tcPr>
            <w:tcW w:w="1373" w:type="dxa"/>
            <w:tcBorders>
              <w:top w:val="single" w:sz="4" w:space="0" w:color="auto"/>
              <w:left w:val="nil"/>
              <w:bottom w:val="nil"/>
              <w:right w:val="nil"/>
            </w:tcBorders>
          </w:tcPr>
          <w:p w:rsidR="00C5029D" w:rsidRPr="00C5029D" w:rsidRDefault="00C5029D" w:rsidP="00C5029D">
            <w:pPr>
              <w:spacing w:after="0"/>
              <w:rPr>
                <w:rFonts w:cs="Arial"/>
                <w:color w:val="DD0806"/>
                <w:sz w:val="22"/>
                <w:szCs w:val="22"/>
              </w:rPr>
            </w:pPr>
          </w:p>
        </w:tc>
        <w:tc>
          <w:tcPr>
            <w:tcW w:w="6766" w:type="dxa"/>
            <w:tcBorders>
              <w:top w:val="nil"/>
              <w:left w:val="nil"/>
              <w:bottom w:val="nil"/>
              <w:right w:val="nil"/>
            </w:tcBorders>
            <w:shd w:val="clear" w:color="auto" w:fill="auto"/>
            <w:noWrap/>
            <w:vAlign w:val="bottom"/>
          </w:tcPr>
          <w:p w:rsidR="00C5029D" w:rsidRPr="00C5029D" w:rsidRDefault="00C5029D" w:rsidP="00C5029D">
            <w:pPr>
              <w:spacing w:after="0"/>
              <w:rPr>
                <w:rFonts w:cs="Arial"/>
                <w:color w:val="DD0806"/>
                <w:sz w:val="22"/>
                <w:szCs w:val="22"/>
              </w:rPr>
            </w:pPr>
          </w:p>
        </w:tc>
      </w:tr>
    </w:tbl>
    <w:p w:rsidR="004456DD" w:rsidRPr="009E51FC" w:rsidRDefault="004456DD" w:rsidP="0093067A"/>
    <w:sectPr w:rsidR="004456DD" w:rsidRPr="009E51FC" w:rsidSect="008B4C8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FF" w:rsidRDefault="000507FF" w:rsidP="004A6D2F">
      <w:r>
        <w:separator/>
      </w:r>
    </w:p>
  </w:endnote>
  <w:endnote w:type="continuationSeparator" w:id="0">
    <w:p w:rsidR="000507FF" w:rsidRDefault="000507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D0" w:rsidRDefault="00661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FF" w:rsidRDefault="000507FF" w:rsidP="004A6D2F">
      <w:r>
        <w:separator/>
      </w:r>
    </w:p>
  </w:footnote>
  <w:footnote w:type="continuationSeparator" w:id="0">
    <w:p w:rsidR="000507FF" w:rsidRDefault="000507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D0" w:rsidRDefault="00661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D0" w:rsidRDefault="006616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FF" w:rsidRPr="006616D0" w:rsidRDefault="006616D0" w:rsidP="006616D0">
    <w:pPr>
      <w:pStyle w:val="Header"/>
      <w:jc w:val="center"/>
      <w:rPr>
        <w:sz w:val="48"/>
        <w:szCs w:val="48"/>
      </w:rPr>
    </w:pPr>
    <w:r>
      <w:rPr>
        <w:sz w:val="48"/>
        <w:szCs w:val="48"/>
      </w:rPr>
      <w:tab/>
    </w:r>
    <w:r>
      <w:rPr>
        <w:sz w:val="48"/>
        <w:szCs w:val="48"/>
      </w:rPr>
      <w:tab/>
    </w:r>
    <w:r>
      <w:rPr>
        <w:sz w:val="48"/>
        <w:szCs w:val="48"/>
      </w:rPr>
      <w:tab/>
    </w:r>
    <w:r>
      <w:rPr>
        <w:sz w:val="48"/>
        <w:szCs w:val="48"/>
      </w:rPr>
      <w:tab/>
    </w:r>
    <w:bookmarkStart w:id="0" w:name="_GoBack"/>
    <w:bookmarkEnd w:id="0"/>
    <w:r w:rsidRPr="006616D0">
      <w:rPr>
        <w:sz w:val="48"/>
        <w:szCs w:val="4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F0135"/>
    <w:multiLevelType w:val="hybridMultilevel"/>
    <w:tmpl w:val="FB0CA5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5B0338"/>
    <w:multiLevelType w:val="hybridMultilevel"/>
    <w:tmpl w:val="4F4E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FE0678"/>
    <w:multiLevelType w:val="hybridMultilevel"/>
    <w:tmpl w:val="A60460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8365C6"/>
    <w:multiLevelType w:val="multilevel"/>
    <w:tmpl w:val="E67CE66C"/>
    <w:numStyleLink w:val="StyleNumberedLeft0cmHanging075cm"/>
  </w:abstractNum>
  <w:num w:numId="1">
    <w:abstractNumId w:val="0"/>
  </w:num>
  <w:num w:numId="2">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1"/>
  </w:num>
  <w:num w:numId="5">
    <w:abstractNumId w:val="14"/>
  </w:num>
  <w:num w:numId="6">
    <w:abstractNumId w:val="12"/>
  </w:num>
  <w:num w:numId="7">
    <w:abstractNumId w:val="10"/>
  </w:num>
  <w:num w:numId="8">
    <w:abstractNumId w:val="17"/>
  </w:num>
  <w:num w:numId="9">
    <w:abstractNumId w:val="17"/>
  </w:num>
  <w:num w:numId="10">
    <w:abstractNumId w:val="8"/>
  </w:num>
  <w:num w:numId="11">
    <w:abstractNumId w:val="13"/>
  </w:num>
  <w:num w:numId="12">
    <w:abstractNumId w:val="15"/>
  </w:num>
  <w:num w:numId="13">
    <w:abstractNumId w:val="17"/>
  </w:num>
  <w:num w:numId="14">
    <w:abstractNumId w:val="16"/>
  </w:num>
  <w:num w:numId="15">
    <w:abstractNumId w:val="17"/>
  </w:num>
  <w:num w:numId="16">
    <w:abstractNumId w:val="6"/>
  </w:num>
  <w:num w:numId="17">
    <w:abstractNumId w:val="1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17"/>
  </w:num>
  <w:num w:numId="23">
    <w:abstractNumId w:val="9"/>
  </w:num>
  <w:num w:numId="24">
    <w:abstractNumId w:val="17"/>
  </w:num>
  <w:num w:numId="25">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26">
    <w:abstractNumId w:val="1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7">
    <w:abstractNumId w:val="4"/>
  </w:num>
  <w:num w:numId="28">
    <w:abstractNumId w:val="17"/>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29">
    <w:abstractNumId w:val="2"/>
  </w:num>
  <w:num w:numId="30">
    <w:abstractNumId w:val="7"/>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F2"/>
    <w:rsid w:val="000117D4"/>
    <w:rsid w:val="00013169"/>
    <w:rsid w:val="000314D7"/>
    <w:rsid w:val="00037F05"/>
    <w:rsid w:val="00044E92"/>
    <w:rsid w:val="00045F8B"/>
    <w:rsid w:val="00046D2B"/>
    <w:rsid w:val="000507FF"/>
    <w:rsid w:val="00056263"/>
    <w:rsid w:val="00064556"/>
    <w:rsid w:val="00064D8A"/>
    <w:rsid w:val="00064F82"/>
    <w:rsid w:val="00066510"/>
    <w:rsid w:val="00073EF9"/>
    <w:rsid w:val="00077523"/>
    <w:rsid w:val="000831E1"/>
    <w:rsid w:val="000970FB"/>
    <w:rsid w:val="000A71B8"/>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097D"/>
    <w:rsid w:val="00202570"/>
    <w:rsid w:val="00205D2B"/>
    <w:rsid w:val="002069B3"/>
    <w:rsid w:val="002167EE"/>
    <w:rsid w:val="002234BF"/>
    <w:rsid w:val="00226CCA"/>
    <w:rsid w:val="00230449"/>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3804"/>
    <w:rsid w:val="002B7981"/>
    <w:rsid w:val="002C64F7"/>
    <w:rsid w:val="002E12C1"/>
    <w:rsid w:val="002E19BC"/>
    <w:rsid w:val="002E5C85"/>
    <w:rsid w:val="002F077B"/>
    <w:rsid w:val="002F41F2"/>
    <w:rsid w:val="00301BF3"/>
    <w:rsid w:val="0030208D"/>
    <w:rsid w:val="00306FB6"/>
    <w:rsid w:val="00310ED5"/>
    <w:rsid w:val="00312113"/>
    <w:rsid w:val="0031529F"/>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1324E"/>
    <w:rsid w:val="00421CB2"/>
    <w:rsid w:val="00422B8E"/>
    <w:rsid w:val="00424AEF"/>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3ACB"/>
    <w:rsid w:val="00477CF6"/>
    <w:rsid w:val="00491046"/>
    <w:rsid w:val="004A0023"/>
    <w:rsid w:val="004A1491"/>
    <w:rsid w:val="004A2AC7"/>
    <w:rsid w:val="004A35C5"/>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31C1B"/>
    <w:rsid w:val="0054712D"/>
    <w:rsid w:val="00547EF6"/>
    <w:rsid w:val="005570B5"/>
    <w:rsid w:val="00567E18"/>
    <w:rsid w:val="00572A0B"/>
    <w:rsid w:val="00575F5F"/>
    <w:rsid w:val="00581805"/>
    <w:rsid w:val="0058347C"/>
    <w:rsid w:val="00585F76"/>
    <w:rsid w:val="005969F3"/>
    <w:rsid w:val="005A2CAC"/>
    <w:rsid w:val="005A34E4"/>
    <w:rsid w:val="005A7390"/>
    <w:rsid w:val="005B17F2"/>
    <w:rsid w:val="005B7FB0"/>
    <w:rsid w:val="005C0D7E"/>
    <w:rsid w:val="005C35A5"/>
    <w:rsid w:val="005C5425"/>
    <w:rsid w:val="005C577C"/>
    <w:rsid w:val="005C5844"/>
    <w:rsid w:val="005C6B5B"/>
    <w:rsid w:val="005C7759"/>
    <w:rsid w:val="005D0621"/>
    <w:rsid w:val="005D1E27"/>
    <w:rsid w:val="005D2A3E"/>
    <w:rsid w:val="005E022E"/>
    <w:rsid w:val="005E31BE"/>
    <w:rsid w:val="005E5215"/>
    <w:rsid w:val="005E72B2"/>
    <w:rsid w:val="005F7F7E"/>
    <w:rsid w:val="006054FE"/>
    <w:rsid w:val="00614693"/>
    <w:rsid w:val="00623C2F"/>
    <w:rsid w:val="006256A2"/>
    <w:rsid w:val="00627AE7"/>
    <w:rsid w:val="00633578"/>
    <w:rsid w:val="00637068"/>
    <w:rsid w:val="00640013"/>
    <w:rsid w:val="00641E81"/>
    <w:rsid w:val="00647581"/>
    <w:rsid w:val="00650811"/>
    <w:rsid w:val="006616D0"/>
    <w:rsid w:val="00661D3E"/>
    <w:rsid w:val="00667A30"/>
    <w:rsid w:val="00671D34"/>
    <w:rsid w:val="00692627"/>
    <w:rsid w:val="00696178"/>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B76A2"/>
    <w:rsid w:val="007C5C23"/>
    <w:rsid w:val="007E2A26"/>
    <w:rsid w:val="007E570B"/>
    <w:rsid w:val="007F2348"/>
    <w:rsid w:val="00803F07"/>
    <w:rsid w:val="0080749A"/>
    <w:rsid w:val="00821A15"/>
    <w:rsid w:val="00821FB8"/>
    <w:rsid w:val="00822ACD"/>
    <w:rsid w:val="00855C66"/>
    <w:rsid w:val="008624C6"/>
    <w:rsid w:val="008667C3"/>
    <w:rsid w:val="00871EE4"/>
    <w:rsid w:val="008B293F"/>
    <w:rsid w:val="008B4C85"/>
    <w:rsid w:val="008B5C17"/>
    <w:rsid w:val="008B7371"/>
    <w:rsid w:val="008C1D94"/>
    <w:rsid w:val="008C1FBF"/>
    <w:rsid w:val="008C4B6C"/>
    <w:rsid w:val="008D26B5"/>
    <w:rsid w:val="008D3DDB"/>
    <w:rsid w:val="008E3B98"/>
    <w:rsid w:val="008F00D2"/>
    <w:rsid w:val="008F573F"/>
    <w:rsid w:val="00902D72"/>
    <w:rsid w:val="009034EC"/>
    <w:rsid w:val="009128E0"/>
    <w:rsid w:val="0092705F"/>
    <w:rsid w:val="0093067A"/>
    <w:rsid w:val="00941C60"/>
    <w:rsid w:val="00941CD8"/>
    <w:rsid w:val="00966D42"/>
    <w:rsid w:val="00971689"/>
    <w:rsid w:val="00973E90"/>
    <w:rsid w:val="00975B07"/>
    <w:rsid w:val="00980B4A"/>
    <w:rsid w:val="00990DF3"/>
    <w:rsid w:val="00993474"/>
    <w:rsid w:val="009B168F"/>
    <w:rsid w:val="009B326E"/>
    <w:rsid w:val="009B4537"/>
    <w:rsid w:val="009C497A"/>
    <w:rsid w:val="009E33A7"/>
    <w:rsid w:val="009E3D0A"/>
    <w:rsid w:val="009E51FC"/>
    <w:rsid w:val="009E631A"/>
    <w:rsid w:val="009E7DFC"/>
    <w:rsid w:val="009F05E5"/>
    <w:rsid w:val="009F1B44"/>
    <w:rsid w:val="009F1D28"/>
    <w:rsid w:val="009F7618"/>
    <w:rsid w:val="00A04D23"/>
    <w:rsid w:val="00A06766"/>
    <w:rsid w:val="00A06BCA"/>
    <w:rsid w:val="00A100F1"/>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AF4A95"/>
    <w:rsid w:val="00B1713B"/>
    <w:rsid w:val="00B2337B"/>
    <w:rsid w:val="00B4230A"/>
    <w:rsid w:val="00B43687"/>
    <w:rsid w:val="00B44121"/>
    <w:rsid w:val="00B500CA"/>
    <w:rsid w:val="00B51651"/>
    <w:rsid w:val="00B665EB"/>
    <w:rsid w:val="00B72910"/>
    <w:rsid w:val="00B86314"/>
    <w:rsid w:val="00B91B3D"/>
    <w:rsid w:val="00BA1C2E"/>
    <w:rsid w:val="00BA4073"/>
    <w:rsid w:val="00BC200B"/>
    <w:rsid w:val="00BC4756"/>
    <w:rsid w:val="00BC69A4"/>
    <w:rsid w:val="00BD5AEC"/>
    <w:rsid w:val="00BE0680"/>
    <w:rsid w:val="00BE1706"/>
    <w:rsid w:val="00BE305F"/>
    <w:rsid w:val="00BE7BA3"/>
    <w:rsid w:val="00BF5682"/>
    <w:rsid w:val="00BF7B09"/>
    <w:rsid w:val="00C103B5"/>
    <w:rsid w:val="00C11C17"/>
    <w:rsid w:val="00C161DA"/>
    <w:rsid w:val="00C20A95"/>
    <w:rsid w:val="00C2692F"/>
    <w:rsid w:val="00C27181"/>
    <w:rsid w:val="00C3207C"/>
    <w:rsid w:val="00C400E1"/>
    <w:rsid w:val="00C41187"/>
    <w:rsid w:val="00C5029D"/>
    <w:rsid w:val="00C62745"/>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C5ECF"/>
    <w:rsid w:val="00CE4C87"/>
    <w:rsid w:val="00CE544A"/>
    <w:rsid w:val="00CF25E6"/>
    <w:rsid w:val="00D11E1C"/>
    <w:rsid w:val="00D160B0"/>
    <w:rsid w:val="00D17F94"/>
    <w:rsid w:val="00D223FC"/>
    <w:rsid w:val="00D23363"/>
    <w:rsid w:val="00D26D1E"/>
    <w:rsid w:val="00D37028"/>
    <w:rsid w:val="00D40CA3"/>
    <w:rsid w:val="00D474CF"/>
    <w:rsid w:val="00D5547E"/>
    <w:rsid w:val="00D74937"/>
    <w:rsid w:val="00D75C97"/>
    <w:rsid w:val="00D811C9"/>
    <w:rsid w:val="00D868FF"/>
    <w:rsid w:val="00D869A1"/>
    <w:rsid w:val="00DA139B"/>
    <w:rsid w:val="00DA413F"/>
    <w:rsid w:val="00DA4584"/>
    <w:rsid w:val="00DA614B"/>
    <w:rsid w:val="00DC2444"/>
    <w:rsid w:val="00DC3060"/>
    <w:rsid w:val="00DE0FB2"/>
    <w:rsid w:val="00DF093E"/>
    <w:rsid w:val="00E01F42"/>
    <w:rsid w:val="00E1225A"/>
    <w:rsid w:val="00E206D6"/>
    <w:rsid w:val="00E22841"/>
    <w:rsid w:val="00E3366E"/>
    <w:rsid w:val="00E343F6"/>
    <w:rsid w:val="00E4216B"/>
    <w:rsid w:val="00E52086"/>
    <w:rsid w:val="00E543A6"/>
    <w:rsid w:val="00E60479"/>
    <w:rsid w:val="00E61D73"/>
    <w:rsid w:val="00E67478"/>
    <w:rsid w:val="00E73684"/>
    <w:rsid w:val="00E818D6"/>
    <w:rsid w:val="00E860D4"/>
    <w:rsid w:val="00E87F7A"/>
    <w:rsid w:val="00E87FA2"/>
    <w:rsid w:val="00E96BD7"/>
    <w:rsid w:val="00EA0DB1"/>
    <w:rsid w:val="00EA0EE9"/>
    <w:rsid w:val="00EA7138"/>
    <w:rsid w:val="00EC0009"/>
    <w:rsid w:val="00EC4482"/>
    <w:rsid w:val="00ED52CA"/>
    <w:rsid w:val="00ED5860"/>
    <w:rsid w:val="00ED607A"/>
    <w:rsid w:val="00EE35C9"/>
    <w:rsid w:val="00EE5586"/>
    <w:rsid w:val="00EE612A"/>
    <w:rsid w:val="00EF3272"/>
    <w:rsid w:val="00F05ECA"/>
    <w:rsid w:val="00F07877"/>
    <w:rsid w:val="00F15646"/>
    <w:rsid w:val="00F2394D"/>
    <w:rsid w:val="00F3566E"/>
    <w:rsid w:val="00F375FB"/>
    <w:rsid w:val="00F41AC1"/>
    <w:rsid w:val="00F4367A"/>
    <w:rsid w:val="00F445B1"/>
    <w:rsid w:val="00F457C9"/>
    <w:rsid w:val="00F45CD4"/>
    <w:rsid w:val="00F66DCA"/>
    <w:rsid w:val="00F67CF4"/>
    <w:rsid w:val="00F74F53"/>
    <w:rsid w:val="00F7606D"/>
    <w:rsid w:val="00F77689"/>
    <w:rsid w:val="00F81670"/>
    <w:rsid w:val="00F82024"/>
    <w:rsid w:val="00F95BC9"/>
    <w:rsid w:val="00FA12CE"/>
    <w:rsid w:val="00FA624C"/>
    <w:rsid w:val="00FB4955"/>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D79B9A7-D559-477C-9F12-97E10F36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67715222">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27455914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484198945">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970792899">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08687654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339131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662848855">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43996685">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0897-FEBC-4846-AE55-84AE2E6E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EFA87568</Template>
  <TotalTime>47</TotalTime>
  <Pages>4</Pages>
  <Words>893</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MITCHELL John</cp:lastModifiedBy>
  <cp:revision>7</cp:revision>
  <cp:lastPrinted>2019-12-27T09:47:00Z</cp:lastPrinted>
  <dcterms:created xsi:type="dcterms:W3CDTF">2021-02-04T20:48:00Z</dcterms:created>
  <dcterms:modified xsi:type="dcterms:W3CDTF">2021-02-12T10:35:00Z</dcterms:modified>
</cp:coreProperties>
</file>